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FD" w:rsidRPr="00AC2263" w:rsidRDefault="007124FD" w:rsidP="00AC2263">
      <w:pPr>
        <w:spacing w:before="100" w:beforeAutospacing="1" w:after="100" w:afterAutospacing="1"/>
        <w:ind w:firstLine="0"/>
        <w:jc w:val="left"/>
        <w:outlineLvl w:val="0"/>
        <w:rPr>
          <w:b/>
          <w:bCs/>
          <w:spacing w:val="0"/>
          <w:kern w:val="36"/>
          <w:sz w:val="32"/>
          <w:szCs w:val="32"/>
          <w:lang w:eastAsia="ru-RU"/>
        </w:rPr>
      </w:pPr>
      <w:r w:rsidRPr="00AC2263">
        <w:rPr>
          <w:b/>
          <w:bCs/>
          <w:spacing w:val="0"/>
          <w:kern w:val="36"/>
          <w:sz w:val="32"/>
          <w:szCs w:val="32"/>
          <w:lang w:eastAsia="ru-RU"/>
        </w:rPr>
        <w:t xml:space="preserve">УВЕДОМЛЕНИЕ ОБ ОБЩЕСТВЕННЫХ ОБСУЖДЕНИЯХ ПО ОБЪЕКТУ «ЭКСПЛУАТАЦИЯ ЮЖНО-УКРАИНСКОЙ АЭС» </w:t>
      </w:r>
    </w:p>
    <w:p w:rsidR="007124FD" w:rsidRPr="00AC2263" w:rsidRDefault="007124FD" w:rsidP="00AC2263">
      <w:pPr>
        <w:ind w:firstLine="708"/>
        <w:jc w:val="left"/>
        <w:rPr>
          <w:spacing w:val="0"/>
          <w:sz w:val="24"/>
          <w:szCs w:val="24"/>
          <w:lang w:eastAsia="ru-RU"/>
        </w:rPr>
      </w:pPr>
      <w:r w:rsidRPr="00AC2263">
        <w:rPr>
          <w:spacing w:val="0"/>
          <w:sz w:val="24"/>
          <w:szCs w:val="24"/>
          <w:lang w:eastAsia="ru-RU"/>
        </w:rPr>
        <w:t xml:space="preserve">В соответствии с положениями Конвенции об оценке воздействия на окружающую среду в трансграничном контексте Министерство экологии и природных ресурсов Украины представило в Министерство природных ресурсов и охраны окружающей среды Республики Беларусь информацию о возможном трансграничном воздействии на окружающую среду (далее - ОВОС) при эксплуатации Южно-Украинской АЭС (Украина).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26"/>
        <w:gridCol w:w="8270"/>
      </w:tblGrid>
      <w:tr w:rsidR="007124FD" w:rsidRPr="00AC2263" w:rsidTr="00AC2263">
        <w:trPr>
          <w:tblCellSpacing w:w="0" w:type="dxa"/>
        </w:trPr>
        <w:tc>
          <w:tcPr>
            <w:tcW w:w="10496" w:type="dxa"/>
            <w:gridSpan w:val="2"/>
            <w:tcBorders>
              <w:top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br/>
              <w:t xml:space="preserve">  </w:t>
            </w:r>
            <w:r w:rsidRPr="00AC2263">
              <w:rPr>
                <w:b/>
                <w:bCs/>
                <w:spacing w:val="0"/>
                <w:sz w:val="24"/>
                <w:szCs w:val="24"/>
                <w:lang w:eastAsia="ru-RU"/>
              </w:rPr>
              <w:t>ИНФОРМАЦИЯ О ПЛАНИРУЕМОЙ ДЕЯТЕЛЬНОСТИ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Заказчик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Государственное предприятие «Национальная атомная энергогенерирующая компания «Энергоатом»</w:t>
            </w:r>
            <w:r w:rsidRPr="00AC2263">
              <w:rPr>
                <w:spacing w:val="0"/>
                <w:sz w:val="24"/>
                <w:szCs w:val="24"/>
                <w:lang w:eastAsia="ru-RU"/>
              </w:rPr>
              <w:br/>
              <w:t>Украина, 01032, г. Киев, ул. Назаровская, 3</w:t>
            </w:r>
            <w:r w:rsidRPr="00AC2263">
              <w:rPr>
                <w:spacing w:val="0"/>
                <w:sz w:val="24"/>
                <w:szCs w:val="24"/>
                <w:lang w:eastAsia="ru-RU"/>
              </w:rPr>
              <w:br/>
              <w:t>номер телефона: +380 (44) 201-09-88</w:t>
            </w:r>
            <w:r w:rsidRPr="00AC2263">
              <w:rPr>
                <w:spacing w:val="0"/>
                <w:sz w:val="24"/>
                <w:szCs w:val="24"/>
                <w:lang w:eastAsia="ru-RU"/>
              </w:rPr>
              <w:br/>
              <w:t>номер факса: +380 (44) 277-78-83</w:t>
            </w:r>
            <w:r w:rsidRPr="00AC2263">
              <w:rPr>
                <w:spacing w:val="0"/>
                <w:sz w:val="24"/>
                <w:szCs w:val="24"/>
                <w:lang w:eastAsia="ru-RU"/>
              </w:rPr>
              <w:br/>
              <w:t xml:space="preserve">электронный адрес: energoatom@atom.gov.ua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Цели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Эксплуатация Южно-Украинской атомной электростанции, обеспечение производства электроэнергии на достигнутом уровне до строительства новых мощностей или снятия с эксплуатации энергоблоков.</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Обоснование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Накопление необходимых средств для вывода из эксплуатации энергоблоков без значительного увеличения нагрузки на потребителя. Продление срока эксплуатации энергоблоков АЭС является условием «Энергетической стратегии Украины на период до 2030 года».</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Описание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На Южно-Украинской АЭС действует 3 энергоблока общей мощностью 3 000 МВт типа ВВЭР-1000 (тип реакторной установки 1-го энергоблока В-302, тип реакторной установки 2-го энергоблока В-338, тип реакторной установки 3-го энергоблока В-320). Станция ежегодно обеспечивает более 10% всей энергии, производимой в Украине.</w:t>
            </w:r>
            <w:r w:rsidRPr="00AC2263">
              <w:rPr>
                <w:spacing w:val="0"/>
                <w:sz w:val="24"/>
                <w:szCs w:val="24"/>
                <w:lang w:eastAsia="ru-RU"/>
              </w:rPr>
              <w:br/>
              <w:t xml:space="preserve">Планируемая деятельность - продление срока службы энергоблоков - не связана с новым строительством, реструктуризацией, заменой основного оборудования, планируется заменить отдельные вспомогательные устаревшие механизмы и их части новыми, которые обеспечат повышение надежности и безопасности работы этих механизмов и всей установки.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Место осуществления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 xml:space="preserve">Украина, Николаевская область, г. Южноукраинск. </w:t>
            </w:r>
            <w:r w:rsidRPr="00AC2263">
              <w:rPr>
                <w:spacing w:val="0"/>
                <w:sz w:val="24"/>
                <w:szCs w:val="24"/>
                <w:lang w:eastAsia="ru-RU"/>
              </w:rPr>
              <w:br/>
              <w:t>Кратчайшее расстояние от объекта до государственной границы с Беларусью – 385 км.</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Сроки осуществления планируемой деятельности</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Деятельность энергоблоков Южно-Украинской АЭС на этапе жизненного цикла «Эксплуатация» в соответствии с условиями лицензии: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65"/>
              <w:gridCol w:w="1738"/>
              <w:gridCol w:w="1971"/>
              <w:gridCol w:w="1550"/>
            </w:tblGrid>
            <w:tr w:rsidR="007124FD" w:rsidRPr="00AC2263">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ind w:firstLine="0"/>
                    <w:jc w:val="left"/>
                    <w:rPr>
                      <w:spacing w:val="0"/>
                      <w:sz w:val="24"/>
                      <w:szCs w:val="24"/>
                      <w:lang w:eastAsia="ru-RU"/>
                    </w:rPr>
                  </w:pPr>
                  <w:r w:rsidRPr="00AC2263">
                    <w:rPr>
                      <w:spacing w:val="0"/>
                      <w:sz w:val="24"/>
                      <w:szCs w:val="24"/>
                      <w:lang w:eastAsia="ru-RU"/>
                    </w:rPr>
                    <w:br/>
                    <w:t xml:space="preserve">Номер энергоблока </w:t>
                  </w:r>
                </w:p>
              </w:tc>
              <w:tc>
                <w:tcPr>
                  <w:tcW w:w="1995"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Дата ввода в эксплуатацию</w:t>
                  </w:r>
                </w:p>
              </w:tc>
              <w:tc>
                <w:tcPr>
                  <w:tcW w:w="213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Дата завершения эксплуатации, предусмотренная проектом</w:t>
                  </w:r>
                </w:p>
              </w:tc>
              <w:tc>
                <w:tcPr>
                  <w:tcW w:w="1980" w:type="dxa"/>
                  <w:tcBorders>
                    <w:top w:val="outset" w:sz="6" w:space="0" w:color="auto"/>
                    <w:left w:val="outset" w:sz="6" w:space="0" w:color="auto"/>
                    <w:bottom w:val="outset" w:sz="6" w:space="0" w:color="auto"/>
                    <w:right w:val="outset" w:sz="6" w:space="0" w:color="auto"/>
                  </w:tcBorders>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Период продления</w:t>
                  </w:r>
                </w:p>
              </w:tc>
            </w:tr>
            <w:tr w:rsidR="007124FD" w:rsidRPr="00AC2263">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1</w:t>
                  </w:r>
                </w:p>
              </w:tc>
              <w:tc>
                <w:tcPr>
                  <w:tcW w:w="1995"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31.12.1982 </w:t>
                  </w:r>
                </w:p>
              </w:tc>
              <w:tc>
                <w:tcPr>
                  <w:tcW w:w="213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02.12.2013 </w:t>
                  </w:r>
                </w:p>
              </w:tc>
              <w:tc>
                <w:tcPr>
                  <w:tcW w:w="1980" w:type="dxa"/>
                  <w:tcBorders>
                    <w:top w:val="outset" w:sz="6" w:space="0" w:color="auto"/>
                    <w:left w:val="outset" w:sz="6" w:space="0" w:color="auto"/>
                    <w:bottom w:val="outset" w:sz="6" w:space="0" w:color="auto"/>
                    <w:right w:val="outset" w:sz="6" w:space="0" w:color="auto"/>
                  </w:tcBorders>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02.12.2023</w:t>
                  </w:r>
                </w:p>
              </w:tc>
            </w:tr>
            <w:tr w:rsidR="007124FD" w:rsidRPr="00AC2263">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2</w:t>
                  </w:r>
                </w:p>
              </w:tc>
              <w:tc>
                <w:tcPr>
                  <w:tcW w:w="1995"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09.01.1985 </w:t>
                  </w:r>
                </w:p>
              </w:tc>
              <w:tc>
                <w:tcPr>
                  <w:tcW w:w="213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12.05.2015 </w:t>
                  </w:r>
                </w:p>
              </w:tc>
              <w:tc>
                <w:tcPr>
                  <w:tcW w:w="1980" w:type="dxa"/>
                  <w:tcBorders>
                    <w:top w:val="outset" w:sz="6" w:space="0" w:color="auto"/>
                    <w:left w:val="outset" w:sz="6" w:space="0" w:color="auto"/>
                    <w:bottom w:val="outset" w:sz="6" w:space="0" w:color="auto"/>
                    <w:right w:val="outset" w:sz="6" w:space="0" w:color="auto"/>
                  </w:tcBorders>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12.05.2025</w:t>
                  </w:r>
                </w:p>
              </w:tc>
            </w:tr>
            <w:tr w:rsidR="007124FD" w:rsidRPr="00AC2263">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3</w:t>
                  </w:r>
                </w:p>
              </w:tc>
              <w:tc>
                <w:tcPr>
                  <w:tcW w:w="1995"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20.09.1989 </w:t>
                  </w:r>
                </w:p>
              </w:tc>
              <w:tc>
                <w:tcPr>
                  <w:tcW w:w="2130" w:type="dxa"/>
                  <w:tcBorders>
                    <w:top w:val="outset" w:sz="6" w:space="0" w:color="auto"/>
                    <w:left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xml:space="preserve">10.02.2020 </w:t>
                  </w:r>
                </w:p>
              </w:tc>
              <w:tc>
                <w:tcPr>
                  <w:tcW w:w="1980" w:type="dxa"/>
                  <w:tcBorders>
                    <w:top w:val="outset" w:sz="6" w:space="0" w:color="auto"/>
                    <w:left w:val="outset" w:sz="6" w:space="0" w:color="auto"/>
                    <w:bottom w:val="outset" w:sz="6" w:space="0" w:color="auto"/>
                    <w:right w:val="outset" w:sz="6" w:space="0" w:color="auto"/>
                  </w:tcBorders>
                </w:tcPr>
                <w:p w:rsidR="007124FD" w:rsidRPr="00AC2263" w:rsidRDefault="007124FD" w:rsidP="00AC2263">
                  <w:pPr>
                    <w:spacing w:before="100" w:beforeAutospacing="1" w:after="100" w:afterAutospacing="1"/>
                    <w:ind w:firstLine="0"/>
                    <w:jc w:val="center"/>
                    <w:rPr>
                      <w:spacing w:val="0"/>
                      <w:sz w:val="24"/>
                      <w:szCs w:val="24"/>
                      <w:lang w:eastAsia="ru-RU"/>
                    </w:rPr>
                  </w:pPr>
                  <w:r w:rsidRPr="00AC2263">
                    <w:rPr>
                      <w:spacing w:val="0"/>
                      <w:sz w:val="24"/>
                      <w:szCs w:val="24"/>
                      <w:lang w:eastAsia="ru-RU"/>
                    </w:rPr>
                    <w:t> </w:t>
                  </w:r>
                </w:p>
              </w:tc>
            </w:tr>
          </w:tbl>
          <w:p w:rsidR="007124FD" w:rsidRPr="00AC2263" w:rsidRDefault="007124FD" w:rsidP="00AC2263">
            <w:pPr>
              <w:spacing w:before="100" w:beforeAutospacing="1" w:after="100" w:afterAutospacing="1"/>
              <w:ind w:firstLine="0"/>
              <w:jc w:val="left"/>
              <w:rPr>
                <w:spacing w:val="0"/>
                <w:sz w:val="24"/>
                <w:szCs w:val="24"/>
                <w:lang w:eastAsia="ru-RU"/>
              </w:rPr>
            </w:pP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 xml:space="preserve">Потенциальное трансграничное воздействие </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Мощность ядерных установок не изменяется, объемы вырабатываемой электроэнергии не увеличиваются, последствия, связанные с запланированными мероприятиями, направленными на реализацию продления срока службы энергоблоков не приведут к увеличению воздействия на окружающую среду.</w:t>
            </w:r>
            <w:r w:rsidRPr="00AC2263">
              <w:rPr>
                <w:spacing w:val="0"/>
                <w:sz w:val="24"/>
                <w:szCs w:val="24"/>
                <w:lang w:eastAsia="ru-RU"/>
              </w:rPr>
              <w:br/>
              <w:t>Радиационное воздействие газо-аэрозольных выбросов Южно-Украинской АЭС при нормальной эксплуатации значительно меньше установленных дозовых лимитов для населения в сопредельных странах. Максимальная мощность дозы для всех видов проектных и запроектных аварий будет ниже уровней безусловного обоснования. Трансграничное распространение радиационных выбросов при авариях учитывая расстояния от АЭС до границ с другими странами будет незначительно отличаться от показателей при нормальной работе энергоблоков. Результаты анализа рассмотренных запроектных аварий подтверждают установленный проектом размер зоны наблюдения (30 км), которой ограничена территория безусловной оправданности неотложных контрмер.</w:t>
            </w:r>
            <w:r w:rsidRPr="00AC2263">
              <w:rPr>
                <w:spacing w:val="0"/>
                <w:sz w:val="24"/>
                <w:szCs w:val="24"/>
                <w:lang w:eastAsia="ru-RU"/>
              </w:rPr>
              <w:br/>
              <w:t xml:space="preserve">Анализ результатов экологического мониторинга показывает, что воздействие всех нерадиационных факторов почти не выходит за пределы санитарно-защитной зоны объекта и ни при каких условиях (даже с потенциально возможными авариями) не распространяется за пределы зоны наблюдения. Таким образом, нерадиационные эффекты исключены из рассмотрения в трансграничном контексте. </w:t>
            </w:r>
            <w:r w:rsidRPr="00AC2263">
              <w:rPr>
                <w:spacing w:val="0"/>
                <w:sz w:val="24"/>
                <w:szCs w:val="24"/>
                <w:lang w:eastAsia="ru-RU"/>
              </w:rPr>
              <w:br/>
              <w:t>Значительное трансграничное воздействие планируемой деятельности на окружающую среду отсутствует.</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Орган, принимающий решение о разрешении строительства</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Результаты трансграничных консультаций будут учтены при принятии решения о продлении срока службы энергоблока № 3 Южно-Украинской АЭС. Решение о продлении срока службы энергоблоков принимается Государственным органом по регулированию ядерной и радиационной безопасности Украины на основе положительного заключения государственного экспертного обзора по ядерной и радиационной безопасности путем внесения изменений в лицензию на эксплуатацию ядерной установки на отдельный этап жизненного цикла «эксплуатации» ядерной установки (без изменения характеристик проекта и условий/ограничений использования).</w:t>
            </w:r>
          </w:p>
        </w:tc>
      </w:tr>
      <w:tr w:rsidR="007124FD" w:rsidRPr="00AC2263" w:rsidTr="00AC2263">
        <w:trPr>
          <w:tblCellSpacing w:w="0" w:type="dxa"/>
        </w:trPr>
        <w:tc>
          <w:tcPr>
            <w:tcW w:w="10496" w:type="dxa"/>
            <w:gridSpan w:val="2"/>
            <w:tcBorders>
              <w:top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b/>
                <w:bCs/>
                <w:spacing w:val="0"/>
                <w:sz w:val="24"/>
                <w:szCs w:val="24"/>
                <w:lang w:eastAsia="ru-RU"/>
              </w:rPr>
              <w:t>ИНФОРМАЦИЯ ОБ ОБЩЕСТВЕННЫХ ОБСУЖДЕНИЯХ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С  документацией по ОВОС можно ознакомиться</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i/>
                <w:iCs/>
                <w:spacing w:val="0"/>
                <w:sz w:val="24"/>
                <w:szCs w:val="24"/>
                <w:lang w:eastAsia="ru-RU"/>
              </w:rPr>
              <w:t>1. Представленная украинской стороной  документация по ОВОС:</w:t>
            </w:r>
            <w:r w:rsidRPr="00AC2263">
              <w:rPr>
                <w:spacing w:val="0"/>
                <w:sz w:val="24"/>
                <w:szCs w:val="24"/>
                <w:lang w:eastAsia="ru-RU"/>
              </w:rPr>
              <w:br/>
            </w:r>
            <w:hyperlink r:id="rId4" w:tgtFrame="_blank" w:history="1">
              <w:r w:rsidRPr="00AC2263">
                <w:rPr>
                  <w:i/>
                  <w:iCs/>
                  <w:color w:val="0000FF"/>
                  <w:spacing w:val="0"/>
                  <w:sz w:val="24"/>
                  <w:szCs w:val="24"/>
                  <w:u w:val="single"/>
                  <w:lang w:eastAsia="ru-RU"/>
                </w:rPr>
                <w:t>-отчет «Разработка материалов для оценки воздействия на окружающую среду при эксплуатации Южно-Украинской АЭС. Часть 10. Трансграничное воздействие ЮУАЭС при нормальной эксплуатации и в чрезвычайных ситуациях в соответствии с требованиями конвенции Эспо» на английском языке;</w:t>
              </w:r>
            </w:hyperlink>
          </w:p>
          <w:p w:rsidR="007124FD" w:rsidRPr="00AC2263" w:rsidRDefault="007124FD" w:rsidP="00AC2263">
            <w:pPr>
              <w:spacing w:before="100" w:beforeAutospacing="1" w:after="100" w:afterAutospacing="1"/>
              <w:ind w:firstLine="0"/>
              <w:jc w:val="left"/>
              <w:rPr>
                <w:spacing w:val="0"/>
                <w:sz w:val="24"/>
                <w:szCs w:val="24"/>
                <w:lang w:eastAsia="ru-RU"/>
              </w:rPr>
            </w:pPr>
            <w:hyperlink r:id="rId5" w:tgtFrame="_blank" w:history="1">
              <w:r w:rsidRPr="00AC2263">
                <w:rPr>
                  <w:i/>
                  <w:iCs/>
                  <w:color w:val="0000FF"/>
                  <w:spacing w:val="0"/>
                  <w:sz w:val="24"/>
                  <w:szCs w:val="24"/>
                  <w:u w:val="single"/>
                  <w:lang w:eastAsia="ru-RU"/>
                </w:rPr>
                <w:t>- Нетехническое резюме материалов по оценке воздействия на окружающую среду при эксплуатации Южно-Украинской АЭС на английском языке</w:t>
              </w:r>
            </w:hyperlink>
            <w:r w:rsidRPr="00AC2263">
              <w:rPr>
                <w:i/>
                <w:iCs/>
                <w:spacing w:val="0"/>
                <w:sz w:val="24"/>
                <w:szCs w:val="24"/>
                <w:lang w:eastAsia="ru-RU"/>
              </w:rPr>
              <w:t xml:space="preserve">  </w:t>
            </w:r>
          </w:p>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 </w:t>
            </w:r>
          </w:p>
          <w:p w:rsidR="007124FD" w:rsidRPr="00AC2263" w:rsidRDefault="007124FD" w:rsidP="00AC2263">
            <w:pPr>
              <w:spacing w:before="100" w:beforeAutospacing="1" w:after="100" w:afterAutospacing="1"/>
              <w:ind w:firstLine="0"/>
              <w:jc w:val="left"/>
              <w:rPr>
                <w:spacing w:val="0"/>
                <w:sz w:val="24"/>
                <w:szCs w:val="24"/>
                <w:lang w:eastAsia="ru-RU"/>
              </w:rPr>
            </w:pPr>
            <w:r w:rsidRPr="00AC2263">
              <w:rPr>
                <w:i/>
                <w:iCs/>
                <w:spacing w:val="0"/>
                <w:sz w:val="24"/>
                <w:szCs w:val="24"/>
                <w:lang w:eastAsia="ru-RU"/>
              </w:rPr>
              <w:t>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Замечания и предложения по документации по ОВОС можно направить</w:t>
            </w:r>
          </w:p>
        </w:tc>
        <w:tc>
          <w:tcPr>
            <w:tcW w:w="8270" w:type="dxa"/>
            <w:tcBorders>
              <w:top w:val="outset" w:sz="6" w:space="0" w:color="auto"/>
              <w:left w:val="outset" w:sz="6" w:space="0" w:color="auto"/>
              <w:bottom w:val="outset" w:sz="6" w:space="0" w:color="auto"/>
            </w:tcBorders>
            <w:vAlign w:val="center"/>
          </w:tcPr>
          <w:p w:rsidR="007124FD" w:rsidRPr="003A6D70" w:rsidRDefault="007124FD" w:rsidP="00DC1602">
            <w:pPr>
              <w:ind w:firstLine="0"/>
            </w:pPr>
            <w:r w:rsidRPr="003A6D70">
              <w:rPr>
                <w:sz w:val="24"/>
                <w:szCs w:val="24"/>
              </w:rPr>
              <w:t>Гульницкая Наталья Борисовна</w:t>
            </w:r>
            <w:r w:rsidRPr="003A6D70">
              <w:rPr>
                <w:spacing w:val="0"/>
                <w:sz w:val="24"/>
                <w:szCs w:val="24"/>
                <w:lang w:eastAsia="ru-RU"/>
              </w:rPr>
              <w:t xml:space="preserve"> – </w:t>
            </w:r>
            <w:r w:rsidRPr="003A6D70">
              <w:rPr>
                <w:sz w:val="24"/>
                <w:szCs w:val="24"/>
              </w:rPr>
              <w:t>начальник отдела контроля за охраной атмосферного воздуха и водных ресурсов Гродненского областного комитета природных ресурсов и охраны окружающей среды, секретарь комиссии</w:t>
            </w:r>
          </w:p>
          <w:p w:rsidR="007124FD" w:rsidRPr="003A6D70" w:rsidRDefault="007124FD" w:rsidP="00DC1602">
            <w:pPr>
              <w:spacing w:before="100" w:beforeAutospacing="1" w:after="100" w:afterAutospacing="1"/>
              <w:ind w:firstLine="0"/>
              <w:jc w:val="left"/>
              <w:rPr>
                <w:spacing w:val="0"/>
                <w:sz w:val="24"/>
                <w:szCs w:val="24"/>
                <w:lang w:eastAsia="ru-RU"/>
              </w:rPr>
            </w:pPr>
            <w:r w:rsidRPr="003A6D70">
              <w:rPr>
                <w:spacing w:val="0"/>
                <w:sz w:val="24"/>
                <w:szCs w:val="24"/>
                <w:lang w:eastAsia="ru-RU"/>
              </w:rPr>
              <w:t xml:space="preserve">Телефон: +375 152 </w:t>
            </w:r>
            <w:r w:rsidRPr="003A6D70">
              <w:rPr>
                <w:sz w:val="24"/>
                <w:szCs w:val="24"/>
              </w:rPr>
              <w:t>62-01-63, 62-01-64</w:t>
            </w:r>
            <w:r w:rsidRPr="003A6D70">
              <w:rPr>
                <w:spacing w:val="0"/>
                <w:sz w:val="24"/>
                <w:szCs w:val="24"/>
                <w:lang w:eastAsia="ru-RU"/>
              </w:rPr>
              <w:br/>
              <w:t>Факс: +375 152 </w:t>
            </w:r>
            <w:r w:rsidRPr="003A6D70">
              <w:rPr>
                <w:sz w:val="24"/>
                <w:szCs w:val="24"/>
              </w:rPr>
              <w:t>62-01-69</w:t>
            </w:r>
          </w:p>
          <w:p w:rsidR="007124FD" w:rsidRPr="00AC2263" w:rsidRDefault="007124FD" w:rsidP="00DC1602">
            <w:pPr>
              <w:spacing w:before="100" w:beforeAutospacing="1" w:after="100" w:afterAutospacing="1"/>
              <w:ind w:firstLine="0"/>
              <w:jc w:val="left"/>
              <w:rPr>
                <w:spacing w:val="0"/>
                <w:sz w:val="24"/>
                <w:szCs w:val="24"/>
                <w:lang w:eastAsia="ru-RU"/>
              </w:rPr>
            </w:pPr>
            <w:r w:rsidRPr="003A6D70">
              <w:rPr>
                <w:spacing w:val="0"/>
                <w:sz w:val="24"/>
                <w:szCs w:val="24"/>
                <w:lang w:eastAsia="ru-RU"/>
              </w:rPr>
              <w:t>E-mail: </w:t>
            </w:r>
            <w:r w:rsidRPr="003A6D70">
              <w:rPr>
                <w:sz w:val="24"/>
                <w:szCs w:val="24"/>
              </w:rPr>
              <w:t>oblkomprios@mail.grodno.by</w:t>
            </w:r>
          </w:p>
        </w:tc>
      </w:tr>
      <w:tr w:rsidR="007124FD" w:rsidRPr="00AC2263" w:rsidTr="00AC2263">
        <w:trPr>
          <w:tblCellSpacing w:w="0" w:type="dxa"/>
        </w:trPr>
        <w:tc>
          <w:tcPr>
            <w:tcW w:w="10496" w:type="dxa"/>
            <w:gridSpan w:val="2"/>
            <w:tcBorders>
              <w:top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b/>
                <w:bCs/>
                <w:spacing w:val="0"/>
                <w:sz w:val="24"/>
                <w:szCs w:val="24"/>
                <w:lang w:eastAsia="ru-RU"/>
              </w:rPr>
              <w:t>ИНФОРМАЦИЯ О ПРОЦЕССЕ УЧАСТИЯ В ОБЩЕСТВЕННЫХ ОБСУЖДЕНИЯХ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 xml:space="preserve">Сроки для участия, представления замечаний </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124230">
            <w:pPr>
              <w:spacing w:before="100" w:beforeAutospacing="1" w:after="100" w:afterAutospacing="1"/>
              <w:ind w:firstLine="0"/>
              <w:jc w:val="left"/>
              <w:rPr>
                <w:spacing w:val="0"/>
                <w:sz w:val="24"/>
                <w:szCs w:val="24"/>
                <w:lang w:eastAsia="ru-RU"/>
              </w:rPr>
            </w:pPr>
            <w:r w:rsidRPr="00AC2263">
              <w:rPr>
                <w:i/>
                <w:iCs/>
                <w:spacing w:val="0"/>
                <w:sz w:val="24"/>
                <w:szCs w:val="24"/>
                <w:lang w:eastAsia="ru-RU"/>
              </w:rPr>
              <w:t xml:space="preserve">В письменном или электронном виде с </w:t>
            </w:r>
            <w:r>
              <w:rPr>
                <w:i/>
                <w:iCs/>
                <w:spacing w:val="0"/>
                <w:sz w:val="24"/>
                <w:szCs w:val="24"/>
                <w:lang w:eastAsia="ru-RU"/>
              </w:rPr>
              <w:t>14.05.</w:t>
            </w:r>
            <w:r w:rsidRPr="00AC2263">
              <w:rPr>
                <w:i/>
                <w:iCs/>
                <w:spacing w:val="0"/>
                <w:sz w:val="24"/>
                <w:szCs w:val="24"/>
                <w:lang w:eastAsia="ru-RU"/>
              </w:rPr>
              <w:t xml:space="preserve">2018 по </w:t>
            </w:r>
            <w:r>
              <w:rPr>
                <w:i/>
                <w:iCs/>
                <w:spacing w:val="0"/>
                <w:sz w:val="24"/>
                <w:szCs w:val="24"/>
                <w:lang w:eastAsia="ru-RU"/>
              </w:rPr>
              <w:t>12.06.</w:t>
            </w:r>
            <w:r w:rsidRPr="00AC2263">
              <w:rPr>
                <w:i/>
                <w:iCs/>
                <w:spacing w:val="0"/>
                <w:sz w:val="24"/>
                <w:szCs w:val="24"/>
                <w:lang w:eastAsia="ru-RU"/>
              </w:rPr>
              <w:t>.2018</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 xml:space="preserve">Срок для направления заявления о необходимости проведения собрания </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124230">
            <w:pPr>
              <w:spacing w:before="100" w:beforeAutospacing="1" w:after="100" w:afterAutospacing="1"/>
              <w:ind w:firstLine="0"/>
              <w:jc w:val="left"/>
              <w:rPr>
                <w:spacing w:val="0"/>
                <w:sz w:val="24"/>
                <w:szCs w:val="24"/>
                <w:lang w:eastAsia="ru-RU"/>
              </w:rPr>
            </w:pPr>
            <w:r w:rsidRPr="00AC2263">
              <w:rPr>
                <w:spacing w:val="0"/>
                <w:sz w:val="24"/>
                <w:szCs w:val="24"/>
                <w:lang w:eastAsia="ru-RU"/>
              </w:rPr>
              <w:t>Заявление о необходимости проведения общественных слушаний (собрания) можно направить в течение 10 рабочих дней с даты начала обще</w:t>
            </w:r>
            <w:r>
              <w:rPr>
                <w:spacing w:val="0"/>
                <w:sz w:val="24"/>
                <w:szCs w:val="24"/>
                <w:lang w:eastAsia="ru-RU"/>
              </w:rPr>
              <w:t>ственных обсуждений, в срок до 25</w:t>
            </w:r>
            <w:r w:rsidRPr="00AC2263">
              <w:rPr>
                <w:spacing w:val="0"/>
                <w:sz w:val="24"/>
                <w:szCs w:val="24"/>
                <w:lang w:eastAsia="ru-RU"/>
              </w:rPr>
              <w:t>.05.2018</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spacing w:val="0"/>
                <w:sz w:val="24"/>
                <w:szCs w:val="24"/>
                <w:lang w:eastAsia="ru-RU"/>
              </w:rPr>
              <w:t>Где и на каком языке</w:t>
            </w:r>
            <w:r w:rsidRPr="00AC2263">
              <w:rPr>
                <w:spacing w:val="0"/>
                <w:sz w:val="24"/>
                <w:szCs w:val="24"/>
                <w:lang w:eastAsia="ru-RU"/>
              </w:rPr>
              <w:br/>
              <w:t xml:space="preserve">можно ознакомиться с документацией по ОВОС </w:t>
            </w:r>
          </w:p>
        </w:tc>
        <w:tc>
          <w:tcPr>
            <w:tcW w:w="8270" w:type="dxa"/>
            <w:tcBorders>
              <w:top w:val="outset" w:sz="6" w:space="0" w:color="auto"/>
              <w:left w:val="outset" w:sz="6" w:space="0" w:color="auto"/>
              <w:bottom w:val="outset" w:sz="6" w:space="0" w:color="auto"/>
            </w:tcBorders>
            <w:vAlign w:val="center"/>
          </w:tcPr>
          <w:p w:rsidR="007124FD" w:rsidRPr="00AC2263" w:rsidRDefault="007124FD" w:rsidP="00AC2263">
            <w:pPr>
              <w:spacing w:before="100" w:beforeAutospacing="1" w:after="100" w:afterAutospacing="1"/>
              <w:ind w:firstLine="0"/>
              <w:jc w:val="left"/>
              <w:rPr>
                <w:spacing w:val="0"/>
                <w:sz w:val="24"/>
                <w:szCs w:val="24"/>
                <w:lang w:eastAsia="ru-RU"/>
              </w:rPr>
            </w:pPr>
            <w:r w:rsidRPr="00AC2263">
              <w:rPr>
                <w:i/>
                <w:iCs/>
                <w:spacing w:val="0"/>
                <w:sz w:val="24"/>
                <w:szCs w:val="24"/>
                <w:lang w:eastAsia="ru-RU"/>
              </w:rPr>
              <w:t>1. Представленная украинской стороной  документация по ОВОС:</w:t>
            </w:r>
            <w:r w:rsidRPr="00AC2263">
              <w:rPr>
                <w:spacing w:val="0"/>
                <w:sz w:val="24"/>
                <w:szCs w:val="24"/>
                <w:lang w:eastAsia="ru-RU"/>
              </w:rPr>
              <w:br/>
            </w:r>
            <w:hyperlink r:id="rId6" w:tgtFrame="_blank" w:history="1">
              <w:r w:rsidRPr="00AC2263">
                <w:rPr>
                  <w:i/>
                  <w:iCs/>
                  <w:color w:val="0000FF"/>
                  <w:spacing w:val="0"/>
                  <w:sz w:val="24"/>
                  <w:szCs w:val="24"/>
                  <w:u w:val="single"/>
                  <w:lang w:eastAsia="ru-RU"/>
                </w:rPr>
                <w:t>-отчет «Разработка материалов для оценки воздействия на окружающую среду при эксплуатации Южно-Украинской АЭС. Часть 10. Трансграничное воздействие ЮУАЭС при нормальной эксплуатации и в чрезвычайных ситуациях в соответствии с требованиями конвенции Эспо» на английском языке;</w:t>
              </w:r>
            </w:hyperlink>
          </w:p>
          <w:p w:rsidR="007124FD" w:rsidRPr="00AC2263" w:rsidRDefault="007124FD" w:rsidP="00AC2263">
            <w:pPr>
              <w:spacing w:before="100" w:beforeAutospacing="1" w:after="100" w:afterAutospacing="1"/>
              <w:ind w:firstLine="0"/>
              <w:jc w:val="left"/>
              <w:rPr>
                <w:spacing w:val="0"/>
                <w:sz w:val="24"/>
                <w:szCs w:val="24"/>
                <w:lang w:eastAsia="ru-RU"/>
              </w:rPr>
            </w:pPr>
            <w:hyperlink r:id="rId7" w:tgtFrame="_blank" w:history="1">
              <w:r w:rsidRPr="00AC2263">
                <w:rPr>
                  <w:i/>
                  <w:iCs/>
                  <w:color w:val="0000FF"/>
                  <w:spacing w:val="0"/>
                  <w:sz w:val="24"/>
                  <w:szCs w:val="24"/>
                  <w:u w:val="single"/>
                  <w:lang w:eastAsia="ru-RU"/>
                </w:rPr>
                <w:t>- Нетехническое резюме материалов по оценке воздействия на окружающую среду при эксплуатации Южно-Украинской АЭС на английском языке</w:t>
              </w:r>
            </w:hyperlink>
            <w:r w:rsidRPr="00AC2263">
              <w:rPr>
                <w:i/>
                <w:iCs/>
                <w:spacing w:val="0"/>
                <w:sz w:val="24"/>
                <w:szCs w:val="24"/>
                <w:lang w:eastAsia="ru-RU"/>
              </w:rPr>
              <w:t xml:space="preserve">  </w:t>
            </w:r>
          </w:p>
        </w:tc>
      </w:tr>
      <w:tr w:rsidR="007124FD" w:rsidRPr="00AC2263" w:rsidTr="00AC2263">
        <w:trPr>
          <w:tblCellSpacing w:w="0" w:type="dxa"/>
        </w:trPr>
        <w:tc>
          <w:tcPr>
            <w:tcW w:w="2226" w:type="dxa"/>
            <w:tcBorders>
              <w:top w:val="outset" w:sz="6" w:space="0" w:color="auto"/>
              <w:bottom w:val="outset" w:sz="6" w:space="0" w:color="auto"/>
              <w:right w:val="outset" w:sz="6" w:space="0" w:color="auto"/>
            </w:tcBorders>
            <w:vAlign w:val="center"/>
          </w:tcPr>
          <w:p w:rsidR="007124FD" w:rsidRPr="00F05833" w:rsidRDefault="007124FD" w:rsidP="00AC2263">
            <w:pPr>
              <w:spacing w:before="100" w:beforeAutospacing="1" w:after="100" w:afterAutospacing="1"/>
              <w:ind w:firstLine="0"/>
              <w:jc w:val="left"/>
              <w:rPr>
                <w:spacing w:val="0"/>
                <w:sz w:val="24"/>
                <w:szCs w:val="24"/>
                <w:lang w:eastAsia="ru-RU"/>
              </w:rPr>
            </w:pPr>
            <w:r w:rsidRPr="00F05833">
              <w:rPr>
                <w:spacing w:val="0"/>
                <w:sz w:val="24"/>
                <w:szCs w:val="24"/>
                <w:lang w:eastAsia="ru-RU"/>
              </w:rPr>
              <w:t>Дата и место опубликования уведомления</w:t>
            </w:r>
          </w:p>
        </w:tc>
        <w:tc>
          <w:tcPr>
            <w:tcW w:w="8270" w:type="dxa"/>
            <w:tcBorders>
              <w:top w:val="outset" w:sz="6" w:space="0" w:color="auto"/>
              <w:left w:val="outset" w:sz="6" w:space="0" w:color="auto"/>
              <w:bottom w:val="outset" w:sz="6" w:space="0" w:color="auto"/>
            </w:tcBorders>
            <w:vAlign w:val="center"/>
          </w:tcPr>
          <w:p w:rsidR="007124FD" w:rsidRPr="00F05833" w:rsidRDefault="007124FD" w:rsidP="00F05833">
            <w:pPr>
              <w:spacing w:before="100" w:beforeAutospacing="1" w:after="100" w:afterAutospacing="1"/>
              <w:ind w:firstLine="0"/>
              <w:jc w:val="left"/>
              <w:rPr>
                <w:spacing w:val="0"/>
                <w:sz w:val="24"/>
                <w:szCs w:val="24"/>
                <w:lang w:eastAsia="ru-RU"/>
              </w:rPr>
            </w:pPr>
            <w:r w:rsidRPr="00F05833">
              <w:rPr>
                <w:spacing w:val="0"/>
                <w:sz w:val="24"/>
                <w:szCs w:val="24"/>
                <w:lang w:eastAsia="ru-RU"/>
              </w:rPr>
              <w:t xml:space="preserve">12.08.2018 в газете «Гродзенская </w:t>
            </w:r>
            <w:r w:rsidRPr="00F05833">
              <w:rPr>
                <w:spacing w:val="0"/>
                <w:sz w:val="24"/>
                <w:szCs w:val="24"/>
                <w:lang w:val="be-BY" w:eastAsia="ru-RU"/>
              </w:rPr>
              <w:t>праўда</w:t>
            </w:r>
            <w:r w:rsidRPr="00F05833">
              <w:rPr>
                <w:spacing w:val="0"/>
                <w:sz w:val="24"/>
                <w:szCs w:val="24"/>
                <w:lang w:eastAsia="ru-RU"/>
              </w:rPr>
              <w:t>»</w:t>
            </w:r>
          </w:p>
        </w:tc>
      </w:tr>
    </w:tbl>
    <w:p w:rsidR="007124FD" w:rsidRPr="00AC2263" w:rsidRDefault="007124FD" w:rsidP="00AC2263"/>
    <w:sectPr w:rsidR="007124FD" w:rsidRPr="00AC2263" w:rsidSect="00733886">
      <w:pgSz w:w="11906" w:h="16838"/>
      <w:pgMar w:top="720" w:right="720" w:bottom="720" w:left="720" w:header="708" w:footer="708" w:gutter="0"/>
      <w:cols w:space="708"/>
      <w:docGrid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9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886"/>
    <w:rsid w:val="00014DE9"/>
    <w:rsid w:val="00024591"/>
    <w:rsid w:val="00124230"/>
    <w:rsid w:val="003207F3"/>
    <w:rsid w:val="003A6D70"/>
    <w:rsid w:val="0043022D"/>
    <w:rsid w:val="007124FD"/>
    <w:rsid w:val="00733886"/>
    <w:rsid w:val="007B67A2"/>
    <w:rsid w:val="009B09E2"/>
    <w:rsid w:val="00AC2263"/>
    <w:rsid w:val="00AD5FB1"/>
    <w:rsid w:val="00C72BC4"/>
    <w:rsid w:val="00C87B37"/>
    <w:rsid w:val="00DC1602"/>
    <w:rsid w:val="00E63732"/>
    <w:rsid w:val="00F05833"/>
    <w:rsid w:val="00F811AF"/>
    <w:rsid w:val="00FD7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86"/>
    <w:pPr>
      <w:ind w:firstLine="709"/>
      <w:jc w:val="both"/>
    </w:pPr>
    <w:rPr>
      <w:rFonts w:ascii="Times New Roman" w:eastAsia="Times New Roman" w:hAnsi="Times New Roman"/>
      <w:spacing w:val="-5"/>
      <w:sz w:val="30"/>
      <w:szCs w:val="20"/>
      <w:lang w:eastAsia="en-US"/>
    </w:rPr>
  </w:style>
  <w:style w:type="paragraph" w:styleId="Heading1">
    <w:name w:val="heading 1"/>
    <w:basedOn w:val="Normal"/>
    <w:link w:val="Heading1Char"/>
    <w:uiPriority w:val="99"/>
    <w:qFormat/>
    <w:rsid w:val="00AC2263"/>
    <w:pPr>
      <w:spacing w:before="100" w:beforeAutospacing="1" w:after="100" w:afterAutospacing="1"/>
      <w:ind w:firstLine="0"/>
      <w:jc w:val="left"/>
      <w:outlineLvl w:val="0"/>
    </w:pPr>
    <w:rPr>
      <w:b/>
      <w:bCs/>
      <w:spacing w:val="0"/>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263"/>
    <w:rPr>
      <w:rFonts w:ascii="Times New Roman" w:hAnsi="Times New Roman" w:cs="Times New Roman"/>
      <w:b/>
      <w:bCs/>
      <w:kern w:val="36"/>
      <w:sz w:val="48"/>
      <w:szCs w:val="48"/>
      <w:lang w:eastAsia="ru-RU"/>
    </w:rPr>
  </w:style>
  <w:style w:type="table" w:styleId="TableGrid">
    <w:name w:val="Table Grid"/>
    <w:basedOn w:val="TableNormal"/>
    <w:uiPriority w:val="99"/>
    <w:rsid w:val="00733886"/>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2263"/>
    <w:pPr>
      <w:spacing w:before="100" w:beforeAutospacing="1" w:after="100" w:afterAutospacing="1"/>
      <w:ind w:firstLine="0"/>
      <w:jc w:val="left"/>
    </w:pPr>
    <w:rPr>
      <w:spacing w:val="0"/>
      <w:sz w:val="24"/>
      <w:szCs w:val="24"/>
      <w:lang w:eastAsia="ru-RU"/>
    </w:rPr>
  </w:style>
  <w:style w:type="character" w:styleId="Strong">
    <w:name w:val="Strong"/>
    <w:basedOn w:val="DefaultParagraphFont"/>
    <w:uiPriority w:val="99"/>
    <w:qFormat/>
    <w:rsid w:val="00AC2263"/>
    <w:rPr>
      <w:rFonts w:cs="Times New Roman"/>
      <w:b/>
      <w:bCs/>
    </w:rPr>
  </w:style>
  <w:style w:type="character" w:styleId="Emphasis">
    <w:name w:val="Emphasis"/>
    <w:basedOn w:val="DefaultParagraphFont"/>
    <w:uiPriority w:val="99"/>
    <w:qFormat/>
    <w:rsid w:val="00AC2263"/>
    <w:rPr>
      <w:rFonts w:cs="Times New Roman"/>
      <w:i/>
      <w:iCs/>
    </w:rPr>
  </w:style>
  <w:style w:type="character" w:styleId="Hyperlink">
    <w:name w:val="Hyperlink"/>
    <w:basedOn w:val="DefaultParagraphFont"/>
    <w:uiPriority w:val="99"/>
    <w:semiHidden/>
    <w:rsid w:val="00AC226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34725189">
      <w:marLeft w:val="0"/>
      <w:marRight w:val="0"/>
      <w:marTop w:val="0"/>
      <w:marBottom w:val="0"/>
      <w:divBdr>
        <w:top w:val="none" w:sz="0" w:space="0" w:color="auto"/>
        <w:left w:val="none" w:sz="0" w:space="0" w:color="auto"/>
        <w:bottom w:val="none" w:sz="0" w:space="0" w:color="auto"/>
        <w:right w:val="none" w:sz="0" w:space="0" w:color="auto"/>
      </w:divBdr>
      <w:divsChild>
        <w:div w:id="203472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npriroda.gov.by/uploads/files/SUNPP-IEA-Nontechnicalreview-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priroda.gov.by/uploads/files/SUNPP-IEA-Transboundary-assessment-en.pdf" TargetMode="External"/><Relationship Id="rId5" Type="http://schemas.openxmlformats.org/officeDocument/2006/relationships/hyperlink" Target="http://minpriroda.gov.by/uploads/files/SUNPP-IEA-Nontechnicalreview-en.pdf" TargetMode="External"/><Relationship Id="rId4" Type="http://schemas.openxmlformats.org/officeDocument/2006/relationships/hyperlink" Target="http://minpriroda.gov.by/uploads/files/SUNPP-IEA-Transboundary-assessment-en.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1057</Words>
  <Characters>6029</Characters>
  <Application>Microsoft Office Outlook</Application>
  <DocSecurity>0</DocSecurity>
  <Lines>0</Lines>
  <Paragraphs>0</Paragraphs>
  <ScaleCrop>false</ScaleCrop>
  <Company>itdep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ОБ ОБЩЕСТВЕННЫХ ОБСУЖДЕНИЯХ ПО ОБЪЕКТУ «ЭКСПЛУАТАЦИЯ ЮЖНО-УКРАИНСКОЙ АЭС» </dc:title>
  <dc:subject/>
  <dc:creator>v.vasilev</dc:creator>
  <cp:keywords/>
  <dc:description/>
  <cp:lastModifiedBy>m.marchenko</cp:lastModifiedBy>
  <cp:revision>2</cp:revision>
  <dcterms:created xsi:type="dcterms:W3CDTF">2018-05-11T13:07:00Z</dcterms:created>
  <dcterms:modified xsi:type="dcterms:W3CDTF">2018-05-11T13:07:00Z</dcterms:modified>
</cp:coreProperties>
</file>