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ED495" w14:textId="77777777" w:rsidR="00594439" w:rsidRDefault="009E6851" w:rsidP="002F6C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58B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C25FC5" w14:textId="77777777" w:rsidR="00B20202" w:rsidRDefault="009E6851" w:rsidP="00B202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58B">
        <w:rPr>
          <w:rFonts w:ascii="Times New Roman" w:hAnsi="Times New Roman" w:cs="Times New Roman"/>
          <w:b/>
          <w:sz w:val="28"/>
          <w:szCs w:val="28"/>
        </w:rPr>
        <w:t>на реализацию проекта в рамках выполнения государственного социального заказа в области проведения профилактических мероприятий по предупреждению распространения социально опасных заболеваний</w:t>
      </w:r>
      <w:r w:rsidRPr="00B2020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20202" w:rsidRPr="00B20202">
        <w:rPr>
          <w:rFonts w:ascii="Times New Roman" w:hAnsi="Times New Roman" w:cs="Times New Roman"/>
          <w:b/>
          <w:sz w:val="28"/>
          <w:szCs w:val="28"/>
        </w:rPr>
        <w:t>вируса иммунодефицита человека</w:t>
      </w:r>
    </w:p>
    <w:p w14:paraId="2DBE72D7" w14:textId="174784E7" w:rsidR="009E6851" w:rsidRPr="00B20202" w:rsidRDefault="00B20202" w:rsidP="00B202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</w:pPr>
      <w:r w:rsidRPr="00B20202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 xml:space="preserve"> </w:t>
      </w:r>
    </w:p>
    <w:p w14:paraId="7E485D12" w14:textId="14E0D7D8" w:rsidR="009E6851" w:rsidRPr="008A276D" w:rsidRDefault="009E6851" w:rsidP="002F6C1C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</w:pPr>
      <w:r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Цели конкурса проект</w:t>
      </w:r>
      <w:r w:rsid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а</w:t>
      </w:r>
      <w:r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:</w:t>
      </w:r>
    </w:p>
    <w:p w14:paraId="392779DE" w14:textId="61E2202F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выявление представителей групп населения с высоким риском заражения туберкулезом;</w:t>
      </w:r>
    </w:p>
    <w:p w14:paraId="3A7B1D14" w14:textId="3AF99EB0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представление представителям групп населения с высоким риском заражения туберкулезом необходимых знаний о факторах риска развития туберкулеза, путях и способах инфицирования возбудителем туберкулеза, мерах профилактики и способах ранней диагностики туберкулеза;</w:t>
      </w:r>
    </w:p>
    <w:p w14:paraId="20176388" w14:textId="1549AA32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предоставление представителям групп населения с высоким риском заражения туберкулезом информации об организациях, оказывающих услуги в рамках диагностики и лечения туберкулеза;</w:t>
      </w:r>
    </w:p>
    <w:p w14:paraId="3C521506" w14:textId="4612F4FD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сопровождение представителей групп населения с высоким риском заражения туберкулезом в организации здравоохранения для прохождения рентген-флюорографического обследования;</w:t>
      </w:r>
    </w:p>
    <w:p w14:paraId="33FD5EFF" w14:textId="604D69EC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сопровождение представителей групп населения с высоким риском заражения туберкулезом групп в Гродненский ОКЦ «Фтизиатрия» для решения вопросов, связанных со здоровьем (самочувствием).</w:t>
      </w:r>
    </w:p>
    <w:p w14:paraId="1A3231FC" w14:textId="10C533B1" w:rsidR="009E6851" w:rsidRPr="00275A89" w:rsidRDefault="009E6851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</w:pPr>
      <w:r w:rsidRPr="00275A89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Ожидаемый результат:</w:t>
      </w:r>
    </w:p>
    <w:p w14:paraId="12B43FC1" w14:textId="3E6DC174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100% лиц, вовлеченных в проект, проконсультированы по вопросам профилактики и ранней диагностики туберкулеза (далее – проинформированные лица) и проанкетированы для выявления ранних признаков туберкулеза;</w:t>
      </w:r>
    </w:p>
    <w:p w14:paraId="27FE933A" w14:textId="13A3583C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100% лиц, вовлеченных в проект, у которых отсутствуют данные о прохождении рентген-флюорографического обследования в течение предыдущих 12 месяцев, а также у которых выявлены ранние признаки туберкулеза по результатам анкетирования, охвачены мотивационным интервью на прохождение рентген-флюорографического обследования;</w:t>
      </w:r>
    </w:p>
    <w:p w14:paraId="6C62CFD1" w14:textId="7C7CA825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не менее 85% проинформированных лиц, у которых отсутствуют данные о прохождении рентген-флюорографического обследования в течение предыдущих 12 месяцев, а также с выявленными ранними признаками туберкулеза по результатам анкетирования, сопровождены в организацию здравоохранения для прохождения рентген-флюорографического обследования.</w:t>
      </w:r>
    </w:p>
    <w:p w14:paraId="4D431CC0" w14:textId="106D0BBE" w:rsidR="00275A89" w:rsidRPr="00DE0112" w:rsidRDefault="00275A89" w:rsidP="00275A89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DE0112">
        <w:rPr>
          <w:rFonts w:ascii="Times New Roman" w:hAnsi="Times New Roman"/>
          <w:sz w:val="30"/>
          <w:szCs w:val="30"/>
        </w:rPr>
        <w:t xml:space="preserve">Период проведения: с </w:t>
      </w:r>
      <w:r>
        <w:rPr>
          <w:rFonts w:ascii="Times New Roman" w:hAnsi="Times New Roman"/>
          <w:sz w:val="30"/>
          <w:szCs w:val="30"/>
        </w:rPr>
        <w:t>июля</w:t>
      </w:r>
      <w:r w:rsidRPr="00DE0112">
        <w:rPr>
          <w:rFonts w:ascii="Times New Roman" w:hAnsi="Times New Roman"/>
          <w:sz w:val="30"/>
          <w:szCs w:val="30"/>
        </w:rPr>
        <w:t xml:space="preserve"> по декабрь 2025 года.</w:t>
      </w:r>
    </w:p>
    <w:p w14:paraId="25CB6429" w14:textId="785CC5F2" w:rsidR="009E6851" w:rsidRPr="00D9658B" w:rsidRDefault="009E6851" w:rsidP="00B2020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Целевая группа</w:t>
      </w:r>
      <w:r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– жители Гродненской области (не менее 1000 человек) из числа лиц:</w:t>
      </w:r>
    </w:p>
    <w:p w14:paraId="06CE4DA4" w14:textId="4FC7EE8D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ВИЧ-инфицированных; </w:t>
      </w:r>
    </w:p>
    <w:p w14:paraId="338550C4" w14:textId="441766CC" w:rsidR="009E6851" w:rsidRPr="00D9658B" w:rsidRDefault="002F6C1C" w:rsidP="002F6C1C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страдающих алкогольной зависимостью, употребляющих наркотические средства, психотропные вещества, их аналоги, токсические или </w:t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lastRenderedPageBreak/>
        <w:t>другие одурманивающие вещества, в том числе пациенты, находящиеся под медицинским наркологическим наблюдением;</w:t>
      </w:r>
    </w:p>
    <w:p w14:paraId="1C782DEC" w14:textId="50CF7634" w:rsidR="009E6851" w:rsidRPr="00D9658B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освободившихся из мест лишения свободы и следственных изоляторов после прибытия на постоянное место жительства – в течение первых трех лет после освобождения;</w:t>
      </w:r>
    </w:p>
    <w:p w14:paraId="49866B7C" w14:textId="41F6776A" w:rsidR="009E6851" w:rsidRPr="00D9658B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выписанных из ЛТП;</w:t>
      </w:r>
    </w:p>
    <w:p w14:paraId="44D64917" w14:textId="27500523" w:rsidR="009E6851" w:rsidRPr="00D9658B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беженцев, мигрантов;</w:t>
      </w:r>
    </w:p>
    <w:p w14:paraId="6BBED769" w14:textId="43E1CB35" w:rsidR="009E6851" w:rsidRPr="00D9658B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БОМЖ;</w:t>
      </w:r>
    </w:p>
    <w:p w14:paraId="135AD21B" w14:textId="483D92A2" w:rsidR="009E6851" w:rsidRPr="00D9658B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безработных, состоящие на учете в центрах занятости населения. </w:t>
      </w:r>
    </w:p>
    <w:p w14:paraId="1E3B0C22" w14:textId="1A22BB0B" w:rsidR="009E6851" w:rsidRPr="00D9658B" w:rsidRDefault="009E6851" w:rsidP="00B2020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Размер запрашиваемой субсидии на реализацию проекта</w:t>
      </w:r>
      <w:r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не должен </w:t>
      </w:r>
      <w:r w:rsidRPr="002F6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превышать </w:t>
      </w:r>
      <w:r w:rsidR="003D7591" w:rsidRPr="002F6C1C">
        <w:rPr>
          <w:rFonts w:ascii="Times New Roman" w:eastAsia="Times New Roman" w:hAnsi="Times New Roman" w:cs="Times New Roman"/>
          <w:sz w:val="28"/>
          <w:szCs w:val="28"/>
          <w:lang w:eastAsia="ru-RU"/>
        </w:rPr>
        <w:t>50000</w:t>
      </w:r>
      <w:r w:rsidRPr="002F6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  <w:r w:rsidR="00995921" w:rsidRPr="002F6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Собственный вклад исполнителя проекта должен </w:t>
      </w:r>
      <w:r w:rsidR="00995921" w:rsidRPr="004D024D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составлять</w:t>
      </w:r>
      <w:r w:rsidR="004D024D" w:rsidRPr="004D024D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</w:t>
      </w:r>
      <w:r w:rsidR="00995921" w:rsidRPr="004D024D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не менее 20% общего бюджета проекта</w:t>
      </w:r>
      <w:r w:rsidRPr="00D9658B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.</w:t>
      </w:r>
    </w:p>
    <w:p w14:paraId="5A4D4247" w14:textId="1EE576E0" w:rsidR="009E6851" w:rsidRPr="00513D61" w:rsidRDefault="002F6C1C" w:rsidP="008A276D">
      <w:pPr>
        <w:shd w:val="clear" w:color="auto" w:fill="FFFFFF"/>
        <w:tabs>
          <w:tab w:val="left" w:pos="7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="009E6851" w:rsidRPr="00275A89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>Виды расходов, которые не субсидируются</w:t>
      </w:r>
      <w:r w:rsidR="009E6851" w:rsidRPr="00513D61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 в рамках реализации проекта: расходы на повышение квалификации работников, капитальный ремонт зданий и сооружений.</w:t>
      </w:r>
    </w:p>
    <w:p w14:paraId="60F47409" w14:textId="3D076542" w:rsidR="009E6851" w:rsidRPr="00513D61" w:rsidRDefault="002F6C1C" w:rsidP="008A276D">
      <w:pPr>
        <w:pStyle w:val="ConsPlusNormal"/>
        <w:tabs>
          <w:tab w:val="left" w:pos="709"/>
        </w:tabs>
        <w:ind w:firstLine="54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</w:rPr>
        <w:tab/>
      </w:r>
      <w:r w:rsidR="009E6851" w:rsidRPr="00513D61">
        <w:rPr>
          <w:rFonts w:ascii="Times New Roman" w:eastAsia="Times New Roman" w:hAnsi="Times New Roman" w:cs="Times New Roman"/>
          <w:color w:val="292B2C"/>
          <w:sz w:val="28"/>
          <w:szCs w:val="28"/>
        </w:rPr>
        <w:t>При реализации проекта в рамках выполнения государственного социального заказа субсидии предоставляются на оплату расходов в полном объеме, в том числе на:</w:t>
      </w:r>
    </w:p>
    <w:p w14:paraId="1D1459BC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заработную плату, выплату среднего заработка за время трудового отпуска, единовременные выплаты на оздоровление и оказание материальной помощи работникам исполнителя государственного социального заказа либо на вознаграждения по гражданско-правовым договорам, заключенным исполнителями государственного социального заказа с физическими лицами, а также на взносы (отчисления) на социальное страхование;</w:t>
      </w:r>
    </w:p>
    <w:p w14:paraId="30C33A52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приобретение расходных материалов;</w:t>
      </w:r>
    </w:p>
    <w:p w14:paraId="4CA11808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приобретение оборудования;</w:t>
      </w:r>
    </w:p>
    <w:p w14:paraId="5B23C63E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публикацию информационных материалов;</w:t>
      </w:r>
    </w:p>
    <w:p w14:paraId="0679227A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оплату коммунальных услуг, услуг связи, в том числе по подключению и пользованию глобальной компьютерной сетью Интернет, транспортных расходов, расходов по аренде зданий и помещений, расходов, связанных с банковским обслуживанием;</w:t>
      </w:r>
    </w:p>
    <w:p w14:paraId="702C4FA6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оплату командировочных расходов в соответствии с нормами, установленными законодательством;</w:t>
      </w:r>
    </w:p>
    <w:p w14:paraId="6EF88F62" w14:textId="77777777" w:rsidR="00513D61" w:rsidRPr="00513D61" w:rsidRDefault="00513D61" w:rsidP="008A276D">
      <w:pPr>
        <w:pStyle w:val="newncpi"/>
        <w:tabs>
          <w:tab w:val="left" w:pos="709"/>
        </w:tabs>
        <w:ind w:firstLine="709"/>
        <w:rPr>
          <w:rFonts w:eastAsia="Times New Roman"/>
          <w:color w:val="292B2C"/>
          <w:sz w:val="28"/>
          <w:szCs w:val="28"/>
        </w:rPr>
      </w:pPr>
      <w:r w:rsidRPr="00513D61">
        <w:rPr>
          <w:rFonts w:eastAsia="Times New Roman"/>
          <w:color w:val="292B2C"/>
          <w:sz w:val="28"/>
          <w:szCs w:val="28"/>
        </w:rPr>
        <w:t>оплату расходов по проведению текущего ремонта оборудования и инвентаря, зданий и помещений.</w:t>
      </w:r>
    </w:p>
    <w:p w14:paraId="50A19B03" w14:textId="416E5EA7" w:rsidR="00AF5477" w:rsidRPr="008A276D" w:rsidRDefault="009E6851" w:rsidP="008A276D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</w:pPr>
      <w:r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 xml:space="preserve">Деятельность по проекту должна быть закончена не позднее </w:t>
      </w:r>
      <w:r w:rsidR="004D024D" w:rsidRPr="008A276D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ru-RU"/>
        </w:rPr>
        <w:t>25 декабря 2025 г.</w:t>
      </w:r>
      <w:r w:rsidR="00275A89" w:rsidRPr="00275A89">
        <w:rPr>
          <w:rFonts w:ascii="Times New Roman" w:hAnsi="Times New Roman"/>
          <w:bCs/>
          <w:sz w:val="30"/>
          <w:szCs w:val="30"/>
        </w:rPr>
        <w:t xml:space="preserve"> </w:t>
      </w:r>
      <w:r w:rsidR="00275A89" w:rsidRPr="00DE0112">
        <w:rPr>
          <w:rFonts w:ascii="Times New Roman" w:hAnsi="Times New Roman"/>
          <w:bCs/>
          <w:sz w:val="30"/>
          <w:szCs w:val="30"/>
        </w:rPr>
        <w:t>Документы, подтверждающие выполнение работ по проекту, направляются заказчику в течение 5 рабочих дней.</w:t>
      </w:r>
    </w:p>
    <w:p w14:paraId="6B0AE666" w14:textId="77777777" w:rsidR="002F6C1C" w:rsidRDefault="002F6C1C" w:rsidP="008A276D">
      <w:pPr>
        <w:tabs>
          <w:tab w:val="left" w:pos="709"/>
          <w:tab w:val="left" w:pos="66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34978303" w14:textId="09FABBCC" w:rsidR="002F6C1C" w:rsidRDefault="002F6C1C" w:rsidP="00E97C8B">
      <w:pPr>
        <w:tabs>
          <w:tab w:val="left" w:pos="709"/>
          <w:tab w:val="left" w:pos="6549"/>
        </w:tabs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Заместитель главного врача </w:t>
      </w:r>
      <w:r>
        <w:rPr>
          <w:rFonts w:ascii="Times New Roman" w:hAnsi="Times New Roman"/>
          <w:sz w:val="30"/>
          <w:szCs w:val="30"/>
        </w:rPr>
        <w:tab/>
      </w:r>
    </w:p>
    <w:p w14:paraId="3389D013" w14:textId="77777777" w:rsidR="002F6C1C" w:rsidRDefault="002F6C1C" w:rsidP="00E97C8B">
      <w:pPr>
        <w:tabs>
          <w:tab w:val="left" w:pos="709"/>
          <w:tab w:val="left" w:pos="6549"/>
        </w:tabs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(по организационно-методической работе)</w:t>
      </w:r>
      <w:r>
        <w:rPr>
          <w:rFonts w:ascii="Times New Roman" w:hAnsi="Times New Roman"/>
          <w:sz w:val="30"/>
          <w:szCs w:val="30"/>
        </w:rPr>
        <w:tab/>
        <w:t xml:space="preserve">  </w:t>
      </w:r>
    </w:p>
    <w:p w14:paraId="49003567" w14:textId="77777777" w:rsidR="002F6C1C" w:rsidRDefault="002F6C1C" w:rsidP="00E97C8B">
      <w:pPr>
        <w:tabs>
          <w:tab w:val="left" w:pos="709"/>
        </w:tabs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УЗ «Гродненский областной</w:t>
      </w:r>
    </w:p>
    <w:p w14:paraId="5BBD7EE8" w14:textId="2C98DD5B" w:rsidR="002F6C1C" w:rsidRDefault="002F6C1C" w:rsidP="00E97C8B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клинический центр «Фтизиатрия»</w:t>
      </w:r>
      <w:r>
        <w:rPr>
          <w:rFonts w:ascii="Times New Roman" w:hAnsi="Times New Roman"/>
          <w:sz w:val="30"/>
          <w:szCs w:val="30"/>
        </w:rPr>
        <w:tab/>
      </w:r>
      <w:proofErr w:type="spellStart"/>
      <w:r>
        <w:rPr>
          <w:rFonts w:ascii="Times New Roman" w:hAnsi="Times New Roman"/>
          <w:sz w:val="30"/>
          <w:szCs w:val="30"/>
        </w:rPr>
        <w:t>А.Н.Машинская</w:t>
      </w:r>
      <w:proofErr w:type="spellEnd"/>
    </w:p>
    <w:sectPr w:rsidR="002F6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851"/>
    <w:rsid w:val="00275A89"/>
    <w:rsid w:val="002F6C1C"/>
    <w:rsid w:val="003D7591"/>
    <w:rsid w:val="004D024D"/>
    <w:rsid w:val="00513D61"/>
    <w:rsid w:val="00594439"/>
    <w:rsid w:val="005D6542"/>
    <w:rsid w:val="007A0664"/>
    <w:rsid w:val="008A276D"/>
    <w:rsid w:val="00995921"/>
    <w:rsid w:val="009E6851"/>
    <w:rsid w:val="00A12DDF"/>
    <w:rsid w:val="00A22D6A"/>
    <w:rsid w:val="00AF5477"/>
    <w:rsid w:val="00B20202"/>
    <w:rsid w:val="00E97C8B"/>
    <w:rsid w:val="00F60A9C"/>
    <w:rsid w:val="00F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B52E"/>
  <w15:chartTrackingRefBased/>
  <w15:docId w15:val="{78542305-8A86-4040-BBA2-F72F0D10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8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newncpi">
    <w:name w:val="newncpi"/>
    <w:basedOn w:val="a"/>
    <w:rsid w:val="00513D6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A8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2025-05-23T13:22:00Z</cp:lastPrinted>
  <dcterms:created xsi:type="dcterms:W3CDTF">2025-05-13T14:39:00Z</dcterms:created>
  <dcterms:modified xsi:type="dcterms:W3CDTF">2025-05-23T13:22:00Z</dcterms:modified>
</cp:coreProperties>
</file>