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459" w:type="dxa"/>
        <w:tblLook w:val="04A0" w:firstRow="1" w:lastRow="0" w:firstColumn="1" w:lastColumn="0" w:noHBand="0" w:noVBand="1"/>
      </w:tblPr>
      <w:tblGrid>
        <w:gridCol w:w="432"/>
        <w:gridCol w:w="4206"/>
        <w:gridCol w:w="73"/>
        <w:gridCol w:w="231"/>
        <w:gridCol w:w="196"/>
        <w:gridCol w:w="4192"/>
        <w:gridCol w:w="359"/>
      </w:tblGrid>
      <w:tr w:rsidR="00964909" w:rsidTr="00964909">
        <w:trPr>
          <w:gridBefore w:val="1"/>
          <w:gridAfter w:val="1"/>
          <w:wBefore w:w="226" w:type="pct"/>
          <w:wAfter w:w="188" w:type="pct"/>
          <w:cantSplit/>
        </w:trPr>
        <w:tc>
          <w:tcPr>
            <w:tcW w:w="2173" w:type="pct"/>
          </w:tcPr>
          <w:p w:rsidR="00964909" w:rsidRDefault="00964909" w:rsidP="00F4647B">
            <w:pPr>
              <w:spacing w:line="240" w:lineRule="exact"/>
              <w:ind w:right="284"/>
              <w:jc w:val="center"/>
              <w:rPr>
                <w:sz w:val="26"/>
                <w:szCs w:val="26"/>
              </w:rPr>
            </w:pPr>
          </w:p>
          <w:p w:rsidR="00964909" w:rsidRDefault="00964909" w:rsidP="00F4647B">
            <w:pPr>
              <w:spacing w:line="240" w:lineRule="exact"/>
              <w:ind w:right="284"/>
              <w:jc w:val="center"/>
              <w:rPr>
                <w:lang w:val="be-BY"/>
              </w:rPr>
            </w:pPr>
            <w:r>
              <w:t>КА</w:t>
            </w:r>
            <w:r>
              <w:rPr>
                <w:lang w:val="be-BY"/>
              </w:rPr>
              <w:t>МУНАЛЬНАЕ ЎНІТАРНАЕ ПРАДПРЫЕМСТВА ПА АКАЗАННІ ПАСЛУГ “АШМЯНСКІ ЦЭНТР ПА БАНКРУЦТВУ І АНТЫКРЫЗІСНЫМ КІРАВАННІ”</w:t>
            </w:r>
          </w:p>
          <w:p w:rsidR="00964909" w:rsidRDefault="00964909" w:rsidP="00F4647B">
            <w:pPr>
              <w:spacing w:line="180" w:lineRule="exact"/>
              <w:ind w:right="284"/>
              <w:jc w:val="center"/>
              <w:rPr>
                <w:i/>
                <w:sz w:val="18"/>
                <w:szCs w:val="18"/>
              </w:rPr>
            </w:pPr>
          </w:p>
          <w:p w:rsidR="00964909" w:rsidRDefault="00964909" w:rsidP="00F4647B">
            <w:pPr>
              <w:spacing w:line="180" w:lineRule="exact"/>
              <w:ind w:right="284"/>
              <w:jc w:val="center"/>
              <w:rPr>
                <w:sz w:val="18"/>
                <w:szCs w:val="18"/>
              </w:rPr>
            </w:pPr>
            <w:proofErr w:type="spellStart"/>
            <w:r>
              <w:rPr>
                <w:sz w:val="18"/>
                <w:szCs w:val="18"/>
              </w:rPr>
              <w:t>вул</w:t>
            </w:r>
            <w:proofErr w:type="spellEnd"/>
            <w:r>
              <w:rPr>
                <w:sz w:val="18"/>
                <w:szCs w:val="18"/>
              </w:rPr>
              <w:t xml:space="preserve">. </w:t>
            </w:r>
            <w:proofErr w:type="spellStart"/>
            <w:r>
              <w:rPr>
                <w:sz w:val="18"/>
                <w:szCs w:val="18"/>
              </w:rPr>
              <w:t>Савецкая</w:t>
            </w:r>
            <w:proofErr w:type="spellEnd"/>
            <w:r>
              <w:rPr>
                <w:sz w:val="18"/>
                <w:szCs w:val="18"/>
              </w:rPr>
              <w:t xml:space="preserve">, 103, </w:t>
            </w:r>
            <w:proofErr w:type="gramStart"/>
            <w:r>
              <w:rPr>
                <w:sz w:val="18"/>
                <w:szCs w:val="18"/>
              </w:rPr>
              <w:t>231103 ,</w:t>
            </w:r>
            <w:proofErr w:type="gramEnd"/>
            <w:r>
              <w:rPr>
                <w:sz w:val="18"/>
                <w:szCs w:val="18"/>
              </w:rPr>
              <w:t xml:space="preserve"> г. </w:t>
            </w:r>
            <w:proofErr w:type="spellStart"/>
            <w:r>
              <w:rPr>
                <w:sz w:val="18"/>
                <w:szCs w:val="18"/>
              </w:rPr>
              <w:t>Ашмяны</w:t>
            </w:r>
            <w:proofErr w:type="spellEnd"/>
            <w:r>
              <w:rPr>
                <w:sz w:val="18"/>
                <w:szCs w:val="18"/>
              </w:rPr>
              <w:t xml:space="preserve"> </w:t>
            </w:r>
          </w:p>
          <w:p w:rsidR="00964909" w:rsidRDefault="00964909" w:rsidP="00F4647B">
            <w:pPr>
              <w:spacing w:line="180" w:lineRule="exact"/>
              <w:ind w:right="284"/>
              <w:jc w:val="center"/>
              <w:rPr>
                <w:sz w:val="18"/>
                <w:szCs w:val="18"/>
              </w:rPr>
            </w:pPr>
            <w:proofErr w:type="spellStart"/>
            <w:r>
              <w:rPr>
                <w:sz w:val="18"/>
                <w:szCs w:val="18"/>
              </w:rPr>
              <w:t>тэл</w:t>
            </w:r>
            <w:proofErr w:type="spellEnd"/>
            <w:r>
              <w:rPr>
                <w:sz w:val="18"/>
                <w:szCs w:val="18"/>
              </w:rPr>
              <w:t>.(01593)  44-2-23,</w:t>
            </w:r>
            <w:r>
              <w:rPr>
                <w:sz w:val="18"/>
                <w:szCs w:val="18"/>
                <w:lang w:val="be-BY"/>
              </w:rPr>
              <w:t xml:space="preserve">эл  пошта: </w:t>
            </w:r>
            <w:r>
              <w:fldChar w:fldCharType="begin"/>
            </w:r>
            <w:r>
              <w:instrText xml:space="preserve"> HYPERLINK "mailto:oshm.anticrisis@tut.by" </w:instrText>
            </w:r>
            <w:r>
              <w:fldChar w:fldCharType="separate"/>
            </w:r>
            <w:r>
              <w:rPr>
                <w:rStyle w:val="a3"/>
                <w:szCs w:val="18"/>
                <w:lang w:val="en-US"/>
              </w:rPr>
              <w:t>o</w:t>
            </w:r>
            <w:r>
              <w:rPr>
                <w:rStyle w:val="a3"/>
                <w:szCs w:val="18"/>
              </w:rPr>
              <w:t>shm.anticrisis@tut.by</w:t>
            </w:r>
            <w:r>
              <w:rPr>
                <w:rStyle w:val="a3"/>
                <w:szCs w:val="18"/>
              </w:rPr>
              <w:fldChar w:fldCharType="end"/>
            </w:r>
            <w:r>
              <w:rPr>
                <w:sz w:val="18"/>
                <w:szCs w:val="18"/>
                <w:lang w:val="be-BY"/>
              </w:rPr>
              <w:t>.</w:t>
            </w:r>
          </w:p>
          <w:p w:rsidR="00964909" w:rsidRDefault="00964909" w:rsidP="00F4647B">
            <w:pPr>
              <w:spacing w:line="180" w:lineRule="exact"/>
              <w:ind w:right="284"/>
              <w:jc w:val="center"/>
              <w:rPr>
                <w:b/>
                <w:sz w:val="30"/>
                <w:szCs w:val="30"/>
                <w:lang w:val="be-BY"/>
              </w:rPr>
            </w:pPr>
          </w:p>
        </w:tc>
        <w:tc>
          <w:tcPr>
            <w:tcW w:w="247" w:type="pct"/>
            <w:gridSpan w:val="3"/>
          </w:tcPr>
          <w:p w:rsidR="00964909" w:rsidRDefault="00964909" w:rsidP="00F4647B">
            <w:pPr>
              <w:pStyle w:val="a4"/>
              <w:spacing w:line="276" w:lineRule="auto"/>
              <w:ind w:right="284"/>
            </w:pPr>
          </w:p>
          <w:p w:rsidR="00964909" w:rsidRDefault="00964909" w:rsidP="00F4647B">
            <w:pPr>
              <w:pStyle w:val="1"/>
              <w:spacing w:line="276" w:lineRule="auto"/>
              <w:ind w:right="284"/>
              <w:rPr>
                <w:rFonts w:ascii="Times New Roman" w:hAnsi="Times New Roman"/>
              </w:rPr>
            </w:pPr>
          </w:p>
          <w:p w:rsidR="00964909" w:rsidRDefault="00964909" w:rsidP="00F4647B">
            <w:pPr>
              <w:spacing w:line="276" w:lineRule="auto"/>
              <w:ind w:right="284"/>
            </w:pPr>
          </w:p>
        </w:tc>
        <w:tc>
          <w:tcPr>
            <w:tcW w:w="2166" w:type="pct"/>
          </w:tcPr>
          <w:p w:rsidR="00964909" w:rsidRDefault="00964909" w:rsidP="00F4647B">
            <w:pPr>
              <w:spacing w:line="276" w:lineRule="auto"/>
              <w:jc w:val="center"/>
              <w:rPr>
                <w:sz w:val="20"/>
                <w:szCs w:val="20"/>
              </w:rPr>
            </w:pPr>
          </w:p>
          <w:p w:rsidR="00964909" w:rsidRDefault="00964909" w:rsidP="00F4647B">
            <w:pPr>
              <w:spacing w:line="240" w:lineRule="exact"/>
              <w:jc w:val="center"/>
            </w:pPr>
            <w:r>
              <w:rPr>
                <w:lang w:val="be-BY"/>
              </w:rPr>
              <w:t>КОММУН</w:t>
            </w:r>
            <w:r>
              <w:t>АЛЬНОЕ УНИТАРНОЕ ПРЕДПРИЯТИЕ ПО ОКАЗАНИЮ УСЛУГ «ОШМЯНСКИЙ ЦЕНТР ПО БАНКРОТСТВУ И АНТИКРИЗИСНОМУ УПРАВЛЕНИЮ</w:t>
            </w:r>
          </w:p>
          <w:p w:rsidR="00964909" w:rsidRDefault="00964909" w:rsidP="00F4647B">
            <w:pPr>
              <w:spacing w:line="180" w:lineRule="exact"/>
              <w:jc w:val="center"/>
              <w:rPr>
                <w:i/>
                <w:sz w:val="18"/>
                <w:szCs w:val="18"/>
              </w:rPr>
            </w:pPr>
          </w:p>
          <w:p w:rsidR="00964909" w:rsidRDefault="00964909" w:rsidP="00F4647B">
            <w:pPr>
              <w:spacing w:line="180" w:lineRule="exact"/>
              <w:jc w:val="center"/>
              <w:rPr>
                <w:sz w:val="18"/>
                <w:szCs w:val="18"/>
              </w:rPr>
            </w:pPr>
            <w:r>
              <w:rPr>
                <w:sz w:val="18"/>
                <w:szCs w:val="18"/>
              </w:rPr>
              <w:t xml:space="preserve">ул. Советская, 103, </w:t>
            </w:r>
            <w:proofErr w:type="gramStart"/>
            <w:r>
              <w:rPr>
                <w:sz w:val="18"/>
                <w:szCs w:val="18"/>
              </w:rPr>
              <w:t>231103,  г.</w:t>
            </w:r>
            <w:proofErr w:type="gramEnd"/>
            <w:r>
              <w:rPr>
                <w:sz w:val="18"/>
                <w:szCs w:val="18"/>
              </w:rPr>
              <w:t xml:space="preserve"> Ошмяны, </w:t>
            </w:r>
          </w:p>
          <w:p w:rsidR="00964909" w:rsidRDefault="00964909" w:rsidP="00F4647B">
            <w:pPr>
              <w:spacing w:line="180" w:lineRule="exact"/>
              <w:ind w:right="284"/>
              <w:jc w:val="center"/>
              <w:rPr>
                <w:sz w:val="18"/>
                <w:szCs w:val="18"/>
              </w:rPr>
            </w:pPr>
            <w:r>
              <w:rPr>
                <w:sz w:val="18"/>
                <w:szCs w:val="18"/>
              </w:rPr>
              <w:t>тел. (01593) 44-2-23,</w:t>
            </w:r>
            <w:r>
              <w:rPr>
                <w:sz w:val="18"/>
                <w:szCs w:val="18"/>
                <w:lang w:val="be-BY"/>
              </w:rPr>
              <w:t xml:space="preserve"> эл  почта: </w:t>
            </w:r>
            <w:r>
              <w:fldChar w:fldCharType="begin"/>
            </w:r>
            <w:r>
              <w:instrText xml:space="preserve"> HYPERLINK "mailto:oshm.anticrisis@tut.by" </w:instrText>
            </w:r>
            <w:r>
              <w:fldChar w:fldCharType="separate"/>
            </w:r>
            <w:r>
              <w:rPr>
                <w:rStyle w:val="a3"/>
                <w:szCs w:val="18"/>
                <w:lang w:val="en-US"/>
              </w:rPr>
              <w:t>o</w:t>
            </w:r>
            <w:r>
              <w:rPr>
                <w:rStyle w:val="a3"/>
                <w:szCs w:val="18"/>
              </w:rPr>
              <w:t>shm.anticrisis@tut.by</w:t>
            </w:r>
            <w:r>
              <w:rPr>
                <w:rStyle w:val="a3"/>
                <w:szCs w:val="18"/>
              </w:rPr>
              <w:fldChar w:fldCharType="end"/>
            </w:r>
            <w:r>
              <w:rPr>
                <w:sz w:val="18"/>
                <w:szCs w:val="18"/>
                <w:lang w:val="be-BY"/>
              </w:rPr>
              <w:t>.</w:t>
            </w:r>
          </w:p>
          <w:p w:rsidR="00964909" w:rsidRDefault="00964909" w:rsidP="00F4647B">
            <w:pPr>
              <w:spacing w:line="276" w:lineRule="auto"/>
              <w:jc w:val="center"/>
              <w:rPr>
                <w:i/>
                <w:sz w:val="18"/>
                <w:szCs w:val="18"/>
                <w:lang w:val="be-BY"/>
              </w:rPr>
            </w:pPr>
          </w:p>
        </w:tc>
      </w:tr>
      <w:tr w:rsidR="003C5478" w:rsidRPr="009C57D6" w:rsidTr="00964909">
        <w:tblPrEx>
          <w:tblLook w:val="01E0" w:firstRow="1" w:lastRow="1" w:firstColumn="1" w:lastColumn="1" w:noHBand="0" w:noVBand="0"/>
        </w:tblPrEx>
        <w:tc>
          <w:tcPr>
            <w:tcW w:w="2435" w:type="pct"/>
            <w:gridSpan w:val="3"/>
          </w:tcPr>
          <w:p w:rsidR="003C5478" w:rsidRPr="009C57D6" w:rsidRDefault="00BC4781" w:rsidP="00FC20F0">
            <w:pPr>
              <w:ind w:firstLine="351"/>
              <w:jc w:val="both"/>
              <w:rPr>
                <w:sz w:val="20"/>
                <w:szCs w:val="20"/>
                <w:lang w:val="be-BY"/>
              </w:rPr>
            </w:pPr>
            <w:r>
              <w:rPr>
                <w:sz w:val="28"/>
                <w:szCs w:val="28"/>
                <w:u w:val="single"/>
                <w:lang w:val="be-BY"/>
              </w:rPr>
              <w:t>13</w:t>
            </w:r>
            <w:r w:rsidR="003C5478" w:rsidRPr="003C7703">
              <w:rPr>
                <w:sz w:val="28"/>
                <w:szCs w:val="28"/>
                <w:u w:val="single"/>
                <w:lang w:val="be-BY"/>
              </w:rPr>
              <w:t>.</w:t>
            </w:r>
            <w:r>
              <w:rPr>
                <w:sz w:val="28"/>
                <w:szCs w:val="28"/>
                <w:u w:val="single"/>
                <w:lang w:val="be-BY"/>
              </w:rPr>
              <w:t>10</w:t>
            </w:r>
            <w:r w:rsidR="003C5478" w:rsidRPr="003C7703">
              <w:rPr>
                <w:sz w:val="28"/>
                <w:szCs w:val="28"/>
                <w:u w:val="single"/>
                <w:lang w:val="be-BY"/>
              </w:rPr>
              <w:t>.20</w:t>
            </w:r>
            <w:r w:rsidR="003C5478">
              <w:rPr>
                <w:sz w:val="28"/>
                <w:szCs w:val="28"/>
                <w:u w:val="single"/>
                <w:lang w:val="be-BY"/>
              </w:rPr>
              <w:t>20</w:t>
            </w:r>
            <w:r w:rsidR="003C5478" w:rsidRPr="003C7703">
              <w:rPr>
                <w:sz w:val="28"/>
                <w:szCs w:val="28"/>
                <w:u w:val="single"/>
                <w:lang w:val="be-BY"/>
              </w:rPr>
              <w:t xml:space="preserve">   </w:t>
            </w:r>
            <w:r w:rsidR="003C5478" w:rsidRPr="00E052A7">
              <w:rPr>
                <w:sz w:val="28"/>
                <w:szCs w:val="28"/>
                <w:lang w:val="be-BY"/>
              </w:rPr>
              <w:t xml:space="preserve">№ </w:t>
            </w:r>
            <w:r w:rsidR="003C5478">
              <w:rPr>
                <w:sz w:val="28"/>
                <w:szCs w:val="28"/>
                <w:lang w:val="be-BY"/>
              </w:rPr>
              <w:t xml:space="preserve"> </w:t>
            </w:r>
            <w:r w:rsidR="003C5478" w:rsidRPr="00E052A7">
              <w:rPr>
                <w:sz w:val="28"/>
                <w:szCs w:val="28"/>
                <w:u w:val="single"/>
                <w:lang w:val="be-BY"/>
              </w:rPr>
              <w:t>0</w:t>
            </w:r>
            <w:r w:rsidR="004817B7">
              <w:rPr>
                <w:sz w:val="28"/>
                <w:szCs w:val="28"/>
                <w:u w:val="single"/>
                <w:lang w:val="be-BY"/>
              </w:rPr>
              <w:t>1</w:t>
            </w:r>
            <w:r w:rsidR="003C5478" w:rsidRPr="00E052A7">
              <w:rPr>
                <w:sz w:val="28"/>
                <w:szCs w:val="28"/>
                <w:u w:val="single"/>
                <w:lang w:val="be-BY"/>
              </w:rPr>
              <w:t>-0</w:t>
            </w:r>
            <w:r w:rsidR="004817B7">
              <w:rPr>
                <w:sz w:val="28"/>
                <w:szCs w:val="28"/>
                <w:u w:val="single"/>
                <w:lang w:val="be-BY"/>
              </w:rPr>
              <w:t>2</w:t>
            </w:r>
            <w:r w:rsidR="003C5478" w:rsidRPr="00E052A7">
              <w:rPr>
                <w:sz w:val="28"/>
                <w:szCs w:val="28"/>
                <w:u w:val="single"/>
                <w:lang w:val="be-BY"/>
              </w:rPr>
              <w:t>/</w:t>
            </w:r>
            <w:r>
              <w:rPr>
                <w:sz w:val="28"/>
                <w:szCs w:val="28"/>
                <w:u w:val="single"/>
                <w:lang w:val="be-BY"/>
              </w:rPr>
              <w:t>174</w:t>
            </w:r>
          </w:p>
        </w:tc>
        <w:tc>
          <w:tcPr>
            <w:tcW w:w="114" w:type="pct"/>
            <w:tcBorders>
              <w:left w:val="nil"/>
            </w:tcBorders>
          </w:tcPr>
          <w:p w:rsidR="003C5478" w:rsidRPr="009C57D6" w:rsidRDefault="003C5478" w:rsidP="00FC20F0">
            <w:pPr>
              <w:jc w:val="center"/>
              <w:rPr>
                <w:b/>
                <w:sz w:val="20"/>
                <w:szCs w:val="20"/>
              </w:rPr>
            </w:pPr>
          </w:p>
        </w:tc>
        <w:tc>
          <w:tcPr>
            <w:tcW w:w="2451" w:type="pct"/>
            <w:gridSpan w:val="3"/>
          </w:tcPr>
          <w:p w:rsidR="00707438" w:rsidRDefault="003C5478" w:rsidP="00FC20F0">
            <w:pPr>
              <w:spacing w:line="280" w:lineRule="exact"/>
              <w:rPr>
                <w:bCs/>
                <w:sz w:val="28"/>
                <w:szCs w:val="28"/>
              </w:rPr>
            </w:pPr>
            <w:r>
              <w:rPr>
                <w:bCs/>
                <w:sz w:val="28"/>
                <w:szCs w:val="28"/>
              </w:rPr>
              <w:t xml:space="preserve">       Редакция газеты «Гродзенская</w:t>
            </w:r>
          </w:p>
          <w:p w:rsidR="003C5478" w:rsidRDefault="00707438" w:rsidP="00FC20F0">
            <w:pPr>
              <w:spacing w:line="280" w:lineRule="exact"/>
              <w:rPr>
                <w:bCs/>
                <w:sz w:val="28"/>
                <w:szCs w:val="28"/>
              </w:rPr>
            </w:pPr>
            <w:r>
              <w:rPr>
                <w:bCs/>
                <w:sz w:val="28"/>
                <w:szCs w:val="28"/>
              </w:rPr>
              <w:t xml:space="preserve">       </w:t>
            </w:r>
            <w:proofErr w:type="spellStart"/>
            <w:r>
              <w:rPr>
                <w:bCs/>
                <w:sz w:val="28"/>
                <w:szCs w:val="28"/>
              </w:rPr>
              <w:t>пра</w:t>
            </w:r>
            <w:proofErr w:type="spellEnd"/>
            <w:r>
              <w:rPr>
                <w:bCs/>
                <w:sz w:val="28"/>
                <w:szCs w:val="28"/>
                <w:lang w:val="be-BY"/>
              </w:rPr>
              <w:t>у</w:t>
            </w:r>
            <w:r>
              <w:rPr>
                <w:bCs/>
                <w:sz w:val="28"/>
                <w:szCs w:val="28"/>
              </w:rPr>
              <w:t>да»</w:t>
            </w:r>
            <w:r w:rsidR="003C5478">
              <w:rPr>
                <w:bCs/>
                <w:sz w:val="28"/>
                <w:szCs w:val="28"/>
              </w:rPr>
              <w:t xml:space="preserve"> </w:t>
            </w:r>
          </w:p>
          <w:p w:rsidR="003C5478" w:rsidRDefault="003C5478" w:rsidP="00FC20F0">
            <w:pPr>
              <w:spacing w:line="280" w:lineRule="exact"/>
              <w:rPr>
                <w:bCs/>
                <w:sz w:val="28"/>
                <w:szCs w:val="28"/>
              </w:rPr>
            </w:pPr>
            <w:r>
              <w:rPr>
                <w:bCs/>
                <w:sz w:val="28"/>
                <w:szCs w:val="28"/>
              </w:rPr>
              <w:t xml:space="preserve">       Комитет «Гроднооблимущество»</w:t>
            </w:r>
          </w:p>
          <w:p w:rsidR="003C5478" w:rsidRPr="009C57D6" w:rsidRDefault="003C5478" w:rsidP="00FC20F0">
            <w:pPr>
              <w:spacing w:line="280" w:lineRule="exact"/>
              <w:ind w:left="463"/>
              <w:rPr>
                <w:sz w:val="28"/>
                <w:szCs w:val="28"/>
              </w:rPr>
            </w:pPr>
            <w:r>
              <w:rPr>
                <w:bCs/>
                <w:sz w:val="28"/>
                <w:szCs w:val="28"/>
              </w:rPr>
              <w:t>Редакция журнала Судебный     вестник Плюс</w:t>
            </w:r>
            <w:r w:rsidRPr="00C45337">
              <w:rPr>
                <w:bCs/>
                <w:sz w:val="28"/>
                <w:szCs w:val="28"/>
              </w:rPr>
              <w:t>:</w:t>
            </w:r>
            <w:r>
              <w:rPr>
                <w:bCs/>
                <w:sz w:val="28"/>
                <w:szCs w:val="28"/>
              </w:rPr>
              <w:t xml:space="preserve"> экономическое правосудие»</w:t>
            </w:r>
          </w:p>
        </w:tc>
      </w:tr>
    </w:tbl>
    <w:p w:rsidR="003C5478" w:rsidRDefault="003C5478" w:rsidP="003C5478">
      <w:pPr>
        <w:ind w:firstLine="708"/>
        <w:jc w:val="both"/>
        <w:rPr>
          <w:sz w:val="28"/>
          <w:szCs w:val="28"/>
        </w:rPr>
      </w:pPr>
      <w:r>
        <w:rPr>
          <w:sz w:val="28"/>
          <w:szCs w:val="28"/>
        </w:rPr>
        <w:tab/>
      </w:r>
      <w:r>
        <w:rPr>
          <w:sz w:val="28"/>
          <w:szCs w:val="28"/>
        </w:rPr>
        <w:tab/>
      </w:r>
      <w:r>
        <w:rPr>
          <w:sz w:val="28"/>
          <w:szCs w:val="28"/>
        </w:rPr>
        <w:tab/>
      </w:r>
      <w:r>
        <w:rPr>
          <w:sz w:val="28"/>
          <w:szCs w:val="28"/>
        </w:rPr>
        <w:tab/>
        <w:t xml:space="preserve">                                  /электронная почта/</w:t>
      </w:r>
    </w:p>
    <w:p w:rsidR="003C5478" w:rsidRDefault="003C5478" w:rsidP="003C5478">
      <w:pPr>
        <w:ind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3C5478" w:rsidRPr="00FE28CB" w:rsidRDefault="003C5478" w:rsidP="003C5478">
      <w:pPr>
        <w:jc w:val="both"/>
        <w:rPr>
          <w:sz w:val="28"/>
          <w:szCs w:val="28"/>
        </w:rPr>
      </w:pPr>
      <w:r w:rsidRPr="00FE28CB">
        <w:rPr>
          <w:sz w:val="28"/>
          <w:szCs w:val="28"/>
        </w:rPr>
        <w:t>О размещении информации</w:t>
      </w:r>
    </w:p>
    <w:p w:rsidR="003C5478" w:rsidRPr="00FE28CB" w:rsidRDefault="003C5478" w:rsidP="003C5478">
      <w:pPr>
        <w:rPr>
          <w:rFonts w:eastAsia="Calibri"/>
          <w:sz w:val="28"/>
          <w:szCs w:val="28"/>
          <w:lang w:eastAsia="en-US"/>
        </w:rPr>
      </w:pP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r>
      <w:r w:rsidRPr="00FE28CB">
        <w:rPr>
          <w:rFonts w:eastAsia="Calibri"/>
          <w:sz w:val="28"/>
          <w:szCs w:val="28"/>
          <w:lang w:eastAsia="en-US"/>
        </w:rPr>
        <w:tab/>
        <w:t xml:space="preserve">   </w:t>
      </w:r>
    </w:p>
    <w:p w:rsidR="003C5478" w:rsidRPr="00FE28CB" w:rsidRDefault="003C5478" w:rsidP="00FE28CB">
      <w:pPr>
        <w:ind w:firstLine="708"/>
        <w:jc w:val="both"/>
        <w:rPr>
          <w:rFonts w:eastAsia="Calibri"/>
          <w:color w:val="0D0D0D" w:themeColor="text1" w:themeTint="F2"/>
          <w:sz w:val="28"/>
          <w:szCs w:val="28"/>
          <w:lang w:eastAsia="en-US"/>
        </w:rPr>
      </w:pPr>
      <w:r w:rsidRPr="00FE28CB">
        <w:rPr>
          <w:rFonts w:eastAsia="Calibri"/>
          <w:sz w:val="28"/>
          <w:szCs w:val="28"/>
          <w:lang w:eastAsia="en-US"/>
        </w:rPr>
        <w:t xml:space="preserve">Антикризисный управляющий </w:t>
      </w:r>
      <w:r w:rsidR="004817B7" w:rsidRPr="00FE28CB">
        <w:rPr>
          <w:rFonts w:eastAsia="Calibri"/>
          <w:sz w:val="28"/>
          <w:szCs w:val="28"/>
          <w:lang w:eastAsia="en-US"/>
        </w:rPr>
        <w:t>КСУП «Гравжишки</w:t>
      </w:r>
      <w:r w:rsidRPr="00FE28CB">
        <w:rPr>
          <w:rFonts w:eastAsia="Calibri"/>
          <w:sz w:val="28"/>
          <w:szCs w:val="28"/>
          <w:lang w:eastAsia="en-US"/>
        </w:rPr>
        <w:t>» просит разместить извещение о проведении торгов следующего содержания:</w:t>
      </w:r>
    </w:p>
    <w:p w:rsidR="003C5478" w:rsidRPr="00637A81" w:rsidRDefault="003C5478" w:rsidP="00637A81">
      <w:pPr>
        <w:jc w:val="both"/>
        <w:rPr>
          <w:rFonts w:eastAsia="Calibri"/>
          <w:color w:val="0D0D0D" w:themeColor="text1" w:themeTint="F2"/>
          <w:sz w:val="28"/>
          <w:szCs w:val="28"/>
          <w:lang w:eastAsia="en-US"/>
        </w:rPr>
      </w:pPr>
      <w:r w:rsidRPr="00FE28CB">
        <w:rPr>
          <w:rFonts w:eastAsia="Calibri"/>
          <w:color w:val="0D0D0D" w:themeColor="text1" w:themeTint="F2"/>
          <w:sz w:val="28"/>
          <w:szCs w:val="28"/>
          <w:lang w:eastAsia="en-US"/>
        </w:rPr>
        <w:t>Гос</w:t>
      </w:r>
      <w:r w:rsidR="004817B7" w:rsidRPr="00FE28CB">
        <w:rPr>
          <w:rFonts w:eastAsia="Calibri"/>
          <w:color w:val="0D0D0D" w:themeColor="text1" w:themeTint="F2"/>
          <w:sz w:val="28"/>
          <w:szCs w:val="28"/>
          <w:lang w:eastAsia="en-US"/>
        </w:rPr>
        <w:t>ударственное предприятие «Ошмян</w:t>
      </w:r>
      <w:r w:rsidRPr="00FE28CB">
        <w:rPr>
          <w:rFonts w:eastAsia="Calibri"/>
          <w:color w:val="0D0D0D" w:themeColor="text1" w:themeTint="F2"/>
          <w:sz w:val="28"/>
          <w:szCs w:val="28"/>
          <w:lang w:eastAsia="en-US"/>
        </w:rPr>
        <w:t xml:space="preserve">ский центр по банкротству и антикризисному управлению» извещает о проведении </w:t>
      </w:r>
      <w:r w:rsidR="00BC4781">
        <w:rPr>
          <w:rFonts w:eastAsia="Calibri"/>
          <w:color w:val="0D0D0D" w:themeColor="text1" w:themeTint="F2"/>
          <w:sz w:val="28"/>
          <w:szCs w:val="28"/>
          <w:lang w:eastAsia="en-US"/>
        </w:rPr>
        <w:t>втор</w:t>
      </w:r>
      <w:r w:rsidR="00F736EA">
        <w:rPr>
          <w:rFonts w:eastAsia="Calibri"/>
          <w:color w:val="0D0D0D" w:themeColor="text1" w:themeTint="F2"/>
          <w:sz w:val="28"/>
          <w:szCs w:val="28"/>
          <w:lang w:eastAsia="en-US"/>
        </w:rPr>
        <w:t xml:space="preserve">ых повторных </w:t>
      </w:r>
      <w:r w:rsidRPr="00FE28CB">
        <w:rPr>
          <w:rFonts w:eastAsia="Calibri"/>
          <w:color w:val="0D0D0D" w:themeColor="text1" w:themeTint="F2"/>
          <w:sz w:val="28"/>
          <w:szCs w:val="28"/>
          <w:lang w:eastAsia="en-US"/>
        </w:rPr>
        <w:t xml:space="preserve">торгов в форме конкурса по продаже </w:t>
      </w:r>
      <w:r w:rsidR="004817B7" w:rsidRPr="00FE28CB">
        <w:rPr>
          <w:rFonts w:eastAsia="Calibri"/>
          <w:color w:val="0D0D0D" w:themeColor="text1" w:themeTint="F2"/>
          <w:sz w:val="28"/>
          <w:szCs w:val="28"/>
          <w:lang w:eastAsia="en-US"/>
        </w:rPr>
        <w:t>КСУП «Гравжишки</w:t>
      </w:r>
      <w:r w:rsidRPr="00FE28CB">
        <w:rPr>
          <w:rFonts w:eastAsia="Calibri"/>
          <w:color w:val="0D0D0D" w:themeColor="text1" w:themeTint="F2"/>
          <w:sz w:val="28"/>
          <w:szCs w:val="28"/>
          <w:lang w:eastAsia="en-US"/>
        </w:rPr>
        <w:t>» как имущественного комплекса.</w:t>
      </w:r>
    </w:p>
    <w:tbl>
      <w:tblPr>
        <w:tblStyle w:val="aa"/>
        <w:tblW w:w="0" w:type="auto"/>
        <w:tblLook w:val="04A0" w:firstRow="1" w:lastRow="0" w:firstColumn="1" w:lastColumn="0" w:noHBand="0" w:noVBand="1"/>
      </w:tblPr>
      <w:tblGrid>
        <w:gridCol w:w="1980"/>
        <w:gridCol w:w="7365"/>
      </w:tblGrid>
      <w:tr w:rsidR="003C5478" w:rsidRPr="00806139" w:rsidTr="00FC20F0">
        <w:tc>
          <w:tcPr>
            <w:tcW w:w="1980" w:type="dxa"/>
          </w:tcPr>
          <w:p w:rsidR="003C5478" w:rsidRPr="00F207A0" w:rsidRDefault="003C5478" w:rsidP="00FC20F0">
            <w:pPr>
              <w:jc w:val="center"/>
              <w:rPr>
                <w:rFonts w:eastAsia="Calibri"/>
                <w:color w:val="2E74B5" w:themeColor="accent1" w:themeShade="BF"/>
                <w:sz w:val="22"/>
                <w:szCs w:val="22"/>
                <w:lang w:eastAsia="en-US"/>
              </w:rPr>
            </w:pPr>
            <w:r w:rsidRPr="00DC1790">
              <w:rPr>
                <w:rFonts w:eastAsia="Calibri"/>
                <w:color w:val="0D0D0D" w:themeColor="text1" w:themeTint="F2"/>
                <w:sz w:val="22"/>
                <w:szCs w:val="22"/>
                <w:lang w:eastAsia="en-US"/>
              </w:rPr>
              <w:t>Предмет торгов</w:t>
            </w:r>
          </w:p>
        </w:tc>
        <w:tc>
          <w:tcPr>
            <w:tcW w:w="7365" w:type="dxa"/>
          </w:tcPr>
          <w:p w:rsidR="003C5478" w:rsidRPr="00FE28CB" w:rsidRDefault="003C5478" w:rsidP="00FC20F0">
            <w:pPr>
              <w:jc w:val="both"/>
              <w:rPr>
                <w:sz w:val="22"/>
                <w:szCs w:val="22"/>
              </w:rPr>
            </w:pPr>
            <w:r>
              <w:rPr>
                <w:sz w:val="22"/>
                <w:szCs w:val="22"/>
              </w:rPr>
              <w:t xml:space="preserve">Коммунальное сельскохозяйственное унитарное </w:t>
            </w:r>
            <w:r w:rsidR="004817B7">
              <w:rPr>
                <w:sz w:val="22"/>
                <w:szCs w:val="22"/>
              </w:rPr>
              <w:t>предприятие «Гравжишки</w:t>
            </w:r>
            <w:r>
              <w:rPr>
                <w:sz w:val="22"/>
                <w:szCs w:val="22"/>
              </w:rPr>
              <w:t>»</w:t>
            </w:r>
            <w:r w:rsidRPr="0063426D">
              <w:rPr>
                <w:sz w:val="22"/>
                <w:szCs w:val="22"/>
              </w:rPr>
              <w:t xml:space="preserve"> как имущественный комплекс</w:t>
            </w:r>
          </w:p>
        </w:tc>
      </w:tr>
      <w:tr w:rsidR="003C5478" w:rsidRPr="00806139" w:rsidTr="00FC20F0">
        <w:tc>
          <w:tcPr>
            <w:tcW w:w="1980" w:type="dxa"/>
          </w:tcPr>
          <w:p w:rsidR="003C5478" w:rsidRPr="00520B7A" w:rsidRDefault="003C5478" w:rsidP="00FC20F0">
            <w:pPr>
              <w:jc w:val="center"/>
              <w:rPr>
                <w:rFonts w:eastAsia="Calibri"/>
                <w:sz w:val="22"/>
                <w:szCs w:val="22"/>
                <w:lang w:eastAsia="en-US"/>
              </w:rPr>
            </w:pPr>
            <w:r w:rsidRPr="00520B7A">
              <w:rPr>
                <w:rFonts w:eastAsia="Calibri"/>
                <w:sz w:val="22"/>
                <w:szCs w:val="22"/>
                <w:lang w:eastAsia="en-US"/>
              </w:rPr>
              <w:t>Начальная цена</w:t>
            </w:r>
          </w:p>
        </w:tc>
        <w:tc>
          <w:tcPr>
            <w:tcW w:w="7365" w:type="dxa"/>
          </w:tcPr>
          <w:p w:rsidR="003C5478" w:rsidRPr="00520B7A" w:rsidRDefault="00010F66" w:rsidP="00FC20F0">
            <w:pPr>
              <w:jc w:val="both"/>
              <w:rPr>
                <w:sz w:val="22"/>
                <w:szCs w:val="22"/>
              </w:rPr>
            </w:pPr>
            <w:r>
              <w:rPr>
                <w:sz w:val="22"/>
                <w:szCs w:val="22"/>
              </w:rPr>
              <w:t>5 846 865.59</w:t>
            </w:r>
            <w:r w:rsidR="003C5478" w:rsidRPr="00520B7A">
              <w:rPr>
                <w:sz w:val="22"/>
                <w:szCs w:val="22"/>
              </w:rPr>
              <w:t xml:space="preserve"> рублей</w:t>
            </w:r>
          </w:p>
        </w:tc>
      </w:tr>
      <w:tr w:rsidR="003C5478" w:rsidRPr="00806139" w:rsidTr="00FC20F0">
        <w:tc>
          <w:tcPr>
            <w:tcW w:w="1980" w:type="dxa"/>
          </w:tcPr>
          <w:p w:rsidR="003C5478" w:rsidRPr="00DC736E" w:rsidRDefault="003C5478" w:rsidP="00FC20F0">
            <w:pPr>
              <w:jc w:val="center"/>
              <w:rPr>
                <w:rFonts w:eastAsia="Calibri"/>
                <w:color w:val="FF0000"/>
                <w:sz w:val="22"/>
                <w:szCs w:val="22"/>
                <w:lang w:eastAsia="en-US"/>
              </w:rPr>
            </w:pPr>
          </w:p>
          <w:p w:rsidR="003C5478" w:rsidRPr="00DC736E" w:rsidRDefault="003C5478" w:rsidP="00FC20F0">
            <w:pPr>
              <w:jc w:val="center"/>
              <w:rPr>
                <w:rFonts w:eastAsia="Calibri"/>
                <w:color w:val="FF0000"/>
                <w:sz w:val="22"/>
                <w:szCs w:val="22"/>
                <w:lang w:eastAsia="en-US"/>
              </w:rPr>
            </w:pPr>
            <w:r w:rsidRPr="00187D08">
              <w:rPr>
                <w:rFonts w:eastAsia="Calibri"/>
                <w:sz w:val="22"/>
                <w:szCs w:val="22"/>
                <w:lang w:eastAsia="en-US"/>
              </w:rPr>
              <w:t>Задаток</w:t>
            </w:r>
          </w:p>
        </w:tc>
        <w:tc>
          <w:tcPr>
            <w:tcW w:w="7365" w:type="dxa"/>
          </w:tcPr>
          <w:p w:rsidR="003C5478" w:rsidRPr="00FE28CB" w:rsidRDefault="003C5478" w:rsidP="00FC20F0">
            <w:pPr>
              <w:jc w:val="both"/>
              <w:rPr>
                <w:sz w:val="22"/>
                <w:szCs w:val="22"/>
              </w:rPr>
            </w:pPr>
            <w:r w:rsidRPr="00187D08">
              <w:rPr>
                <w:sz w:val="22"/>
                <w:szCs w:val="22"/>
              </w:rPr>
              <w:t xml:space="preserve">Задаток подлежит внесению на расчетный счет продавца в сумме </w:t>
            </w:r>
            <w:r w:rsidR="004817B7">
              <w:rPr>
                <w:sz w:val="22"/>
                <w:szCs w:val="22"/>
              </w:rPr>
              <w:t>10</w:t>
            </w:r>
            <w:r>
              <w:rPr>
                <w:sz w:val="22"/>
                <w:szCs w:val="22"/>
              </w:rPr>
              <w:t>0</w:t>
            </w:r>
            <w:r w:rsidRPr="00187D08">
              <w:rPr>
                <w:sz w:val="22"/>
                <w:szCs w:val="22"/>
              </w:rPr>
              <w:t xml:space="preserve"> 000,00 рублей в срок не позднее </w:t>
            </w:r>
            <w:r w:rsidR="00010F66">
              <w:rPr>
                <w:color w:val="FF0000"/>
                <w:sz w:val="22"/>
                <w:szCs w:val="22"/>
              </w:rPr>
              <w:t>28</w:t>
            </w:r>
            <w:r w:rsidR="00F736EA">
              <w:rPr>
                <w:color w:val="FF0000"/>
                <w:sz w:val="22"/>
                <w:szCs w:val="22"/>
              </w:rPr>
              <w:t>.10</w:t>
            </w:r>
            <w:r w:rsidRPr="00AB6878">
              <w:rPr>
                <w:color w:val="FF0000"/>
                <w:sz w:val="22"/>
                <w:szCs w:val="22"/>
              </w:rPr>
              <w:t>.2020</w:t>
            </w:r>
            <w:r w:rsidRPr="00187D08">
              <w:rPr>
                <w:sz w:val="22"/>
                <w:szCs w:val="22"/>
              </w:rPr>
              <w:t xml:space="preserve">. Назначение платежа – задаток для участия в конкурсе по продаже имущества </w:t>
            </w:r>
            <w:r w:rsidR="004817B7">
              <w:rPr>
                <w:sz w:val="22"/>
                <w:szCs w:val="22"/>
              </w:rPr>
              <w:t>КСУП «Гравжишки</w:t>
            </w:r>
            <w:r>
              <w:rPr>
                <w:sz w:val="22"/>
                <w:szCs w:val="22"/>
              </w:rPr>
              <w:t>»</w:t>
            </w:r>
            <w:r w:rsidRPr="00187D08">
              <w:rPr>
                <w:sz w:val="22"/>
                <w:szCs w:val="22"/>
              </w:rPr>
              <w:t xml:space="preserve"> </w:t>
            </w:r>
            <w:r w:rsidR="00010F66">
              <w:rPr>
                <w:color w:val="FF0000"/>
                <w:sz w:val="22"/>
                <w:szCs w:val="22"/>
              </w:rPr>
              <w:t>29</w:t>
            </w:r>
            <w:r w:rsidR="00F736EA">
              <w:rPr>
                <w:color w:val="FF0000"/>
                <w:sz w:val="22"/>
                <w:szCs w:val="22"/>
              </w:rPr>
              <w:t>.10</w:t>
            </w:r>
            <w:r w:rsidRPr="00AB6878">
              <w:rPr>
                <w:color w:val="FF0000"/>
                <w:sz w:val="22"/>
                <w:szCs w:val="22"/>
              </w:rPr>
              <w:t>.2020</w:t>
            </w:r>
          </w:p>
        </w:tc>
      </w:tr>
      <w:tr w:rsidR="003C5478" w:rsidRPr="00806139" w:rsidTr="00FE28CB">
        <w:trPr>
          <w:trHeight w:val="292"/>
        </w:trPr>
        <w:tc>
          <w:tcPr>
            <w:tcW w:w="1980" w:type="dxa"/>
          </w:tcPr>
          <w:p w:rsidR="003C5478" w:rsidRPr="003F7D51" w:rsidRDefault="003C5478" w:rsidP="00F736EA">
            <w:pPr>
              <w:jc w:val="center"/>
              <w:rPr>
                <w:rFonts w:eastAsia="Calibri"/>
                <w:sz w:val="22"/>
                <w:szCs w:val="22"/>
                <w:lang w:eastAsia="en-US"/>
              </w:rPr>
            </w:pPr>
            <w:r w:rsidRPr="003F7D51">
              <w:rPr>
                <w:rFonts w:eastAsia="Calibri"/>
                <w:sz w:val="22"/>
                <w:szCs w:val="22"/>
                <w:lang w:eastAsia="en-US"/>
              </w:rPr>
              <w:t>Дата, место, время и форма торгов</w:t>
            </w:r>
          </w:p>
        </w:tc>
        <w:tc>
          <w:tcPr>
            <w:tcW w:w="7365" w:type="dxa"/>
          </w:tcPr>
          <w:p w:rsidR="003C5478" w:rsidRPr="003F7D51" w:rsidRDefault="007711C6" w:rsidP="00FC20F0">
            <w:pPr>
              <w:jc w:val="both"/>
              <w:rPr>
                <w:sz w:val="22"/>
                <w:szCs w:val="22"/>
              </w:rPr>
            </w:pPr>
            <w:r>
              <w:rPr>
                <w:color w:val="FF0000"/>
                <w:sz w:val="22"/>
                <w:szCs w:val="22"/>
              </w:rPr>
              <w:t>29</w:t>
            </w:r>
            <w:bookmarkStart w:id="0" w:name="_GoBack"/>
            <w:bookmarkEnd w:id="0"/>
            <w:r w:rsidR="00F736EA">
              <w:rPr>
                <w:color w:val="FF0000"/>
                <w:sz w:val="22"/>
                <w:szCs w:val="22"/>
              </w:rPr>
              <w:t>.10</w:t>
            </w:r>
            <w:r w:rsidR="003C5478" w:rsidRPr="00AB6878">
              <w:rPr>
                <w:color w:val="FF0000"/>
                <w:sz w:val="22"/>
                <w:szCs w:val="22"/>
              </w:rPr>
              <w:t>.2020</w:t>
            </w:r>
            <w:r w:rsidR="003C5478" w:rsidRPr="003F7D51">
              <w:rPr>
                <w:sz w:val="22"/>
                <w:szCs w:val="22"/>
              </w:rPr>
              <w:t>, Г</w:t>
            </w:r>
            <w:r w:rsidR="004817B7">
              <w:rPr>
                <w:sz w:val="22"/>
                <w:szCs w:val="22"/>
              </w:rPr>
              <w:t>родненская область, город Ошмяны, улица Советская, 103, 4 этаж, кабинет № 49</w:t>
            </w:r>
            <w:r w:rsidR="003C5478" w:rsidRPr="003F7D51">
              <w:rPr>
                <w:sz w:val="22"/>
                <w:szCs w:val="22"/>
              </w:rPr>
              <w:t>, 10:00, торги в форме конкурса</w:t>
            </w:r>
            <w:r w:rsidR="00382CFC">
              <w:rPr>
                <w:sz w:val="22"/>
                <w:szCs w:val="22"/>
              </w:rPr>
              <w:t>, втор</w:t>
            </w:r>
            <w:r w:rsidR="003C5478">
              <w:rPr>
                <w:sz w:val="22"/>
                <w:szCs w:val="22"/>
              </w:rPr>
              <w:t>ые</w:t>
            </w:r>
            <w:r w:rsidR="003861BF">
              <w:rPr>
                <w:sz w:val="22"/>
                <w:szCs w:val="22"/>
              </w:rPr>
              <w:t xml:space="preserve"> повторные</w:t>
            </w:r>
            <w:r w:rsidR="003C5478">
              <w:rPr>
                <w:sz w:val="22"/>
                <w:szCs w:val="22"/>
              </w:rPr>
              <w:t xml:space="preserve"> торги</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 xml:space="preserve">Сведения о предмете торгов, его местонахождение и порядок ознакомления с ним </w:t>
            </w:r>
          </w:p>
          <w:p w:rsidR="003C5478" w:rsidRPr="00DC736E" w:rsidRDefault="003C5478" w:rsidP="00FC20F0">
            <w:pPr>
              <w:jc w:val="center"/>
              <w:rPr>
                <w:rFonts w:eastAsia="Calibri"/>
                <w:sz w:val="22"/>
                <w:szCs w:val="22"/>
                <w:lang w:eastAsia="en-US"/>
              </w:rPr>
            </w:pPr>
          </w:p>
        </w:tc>
        <w:tc>
          <w:tcPr>
            <w:tcW w:w="7365" w:type="dxa"/>
          </w:tcPr>
          <w:p w:rsidR="003C5478" w:rsidRPr="00DC736E" w:rsidRDefault="003C5478" w:rsidP="00FC20F0">
            <w:pPr>
              <w:jc w:val="both"/>
              <w:rPr>
                <w:sz w:val="22"/>
                <w:szCs w:val="22"/>
              </w:rPr>
            </w:pPr>
            <w:r w:rsidRPr="00DC736E">
              <w:rPr>
                <w:sz w:val="22"/>
                <w:szCs w:val="22"/>
              </w:rPr>
              <w:t>Предприятие как имущественный комплекс, сформированный из перечня имущества и имущественны</w:t>
            </w:r>
            <w:r>
              <w:rPr>
                <w:sz w:val="22"/>
                <w:szCs w:val="22"/>
              </w:rPr>
              <w:t>х</w:t>
            </w:r>
            <w:r w:rsidRPr="00DC736E">
              <w:rPr>
                <w:sz w:val="22"/>
                <w:szCs w:val="22"/>
              </w:rPr>
              <w:t xml:space="preserve"> прав, числящихся на балансе </w:t>
            </w:r>
            <w:r w:rsidR="00B07CDB">
              <w:rPr>
                <w:sz w:val="22"/>
                <w:szCs w:val="22"/>
              </w:rPr>
              <w:t>к</w:t>
            </w:r>
            <w:r w:rsidRPr="00AB6878">
              <w:rPr>
                <w:sz w:val="22"/>
                <w:szCs w:val="22"/>
              </w:rPr>
              <w:t>оммунально</w:t>
            </w:r>
            <w:r>
              <w:rPr>
                <w:sz w:val="22"/>
                <w:szCs w:val="22"/>
              </w:rPr>
              <w:t>го</w:t>
            </w:r>
            <w:r w:rsidRPr="00AB6878">
              <w:rPr>
                <w:sz w:val="22"/>
                <w:szCs w:val="22"/>
              </w:rPr>
              <w:t xml:space="preserve"> сельскохозяйственно</w:t>
            </w:r>
            <w:r>
              <w:rPr>
                <w:sz w:val="22"/>
                <w:szCs w:val="22"/>
              </w:rPr>
              <w:t>го</w:t>
            </w:r>
            <w:r w:rsidRPr="00AB6878">
              <w:rPr>
                <w:sz w:val="22"/>
                <w:szCs w:val="22"/>
              </w:rPr>
              <w:t xml:space="preserve"> унитарно</w:t>
            </w:r>
            <w:r>
              <w:rPr>
                <w:sz w:val="22"/>
                <w:szCs w:val="22"/>
              </w:rPr>
              <w:t>го</w:t>
            </w:r>
            <w:r w:rsidRPr="00AB6878">
              <w:rPr>
                <w:sz w:val="22"/>
                <w:szCs w:val="22"/>
              </w:rPr>
              <w:t xml:space="preserve"> предприяти</w:t>
            </w:r>
            <w:r>
              <w:rPr>
                <w:sz w:val="22"/>
                <w:szCs w:val="22"/>
              </w:rPr>
              <w:t>я</w:t>
            </w:r>
            <w:r w:rsidR="004817B7">
              <w:rPr>
                <w:sz w:val="22"/>
                <w:szCs w:val="22"/>
              </w:rPr>
              <w:t xml:space="preserve"> «Гравжишки</w:t>
            </w:r>
            <w:r w:rsidRPr="00AB6878">
              <w:rPr>
                <w:sz w:val="22"/>
                <w:szCs w:val="22"/>
              </w:rPr>
              <w:t>»</w:t>
            </w:r>
            <w:r w:rsidRPr="00DC736E">
              <w:rPr>
                <w:sz w:val="22"/>
                <w:szCs w:val="22"/>
              </w:rPr>
              <w:t>, конкретный состав имущества и имущественных прав размещен на сайте www.bankrot.gov.by.</w:t>
            </w:r>
          </w:p>
          <w:p w:rsidR="003C5478" w:rsidRPr="00DC736E" w:rsidRDefault="003C5478" w:rsidP="00FC20F0">
            <w:pPr>
              <w:jc w:val="both"/>
              <w:rPr>
                <w:rFonts w:eastAsia="Calibri"/>
                <w:sz w:val="22"/>
                <w:szCs w:val="22"/>
                <w:lang w:eastAsia="en-US"/>
              </w:rPr>
            </w:pPr>
            <w:r w:rsidRPr="00DC736E">
              <w:rPr>
                <w:sz w:val="22"/>
                <w:szCs w:val="22"/>
              </w:rPr>
              <w:t xml:space="preserve">Местонахождение: </w:t>
            </w:r>
            <w:r>
              <w:rPr>
                <w:sz w:val="22"/>
                <w:szCs w:val="22"/>
              </w:rPr>
              <w:t xml:space="preserve">231815, </w:t>
            </w:r>
            <w:r w:rsidRPr="00DC736E">
              <w:rPr>
                <w:sz w:val="22"/>
                <w:szCs w:val="22"/>
              </w:rPr>
              <w:t>Гродненская</w:t>
            </w:r>
            <w:r w:rsidR="004817B7">
              <w:rPr>
                <w:rFonts w:eastAsia="Calibri"/>
                <w:sz w:val="22"/>
                <w:szCs w:val="22"/>
                <w:lang w:eastAsia="en-US"/>
              </w:rPr>
              <w:t xml:space="preserve"> область, Ошмян</w:t>
            </w:r>
            <w:r w:rsidRPr="00DC736E">
              <w:rPr>
                <w:rFonts w:eastAsia="Calibri"/>
                <w:sz w:val="22"/>
                <w:szCs w:val="22"/>
                <w:lang w:eastAsia="en-US"/>
              </w:rPr>
              <w:t xml:space="preserve">ский район, </w:t>
            </w:r>
            <w:proofErr w:type="spellStart"/>
            <w:r w:rsidRPr="00DC736E">
              <w:rPr>
                <w:rFonts w:eastAsia="Calibri"/>
                <w:sz w:val="22"/>
                <w:szCs w:val="22"/>
                <w:lang w:eastAsia="en-US"/>
              </w:rPr>
              <w:t>агрогородок</w:t>
            </w:r>
            <w:proofErr w:type="spellEnd"/>
            <w:r w:rsidRPr="00DC736E">
              <w:rPr>
                <w:rFonts w:eastAsia="Calibri"/>
                <w:sz w:val="22"/>
                <w:szCs w:val="22"/>
                <w:lang w:eastAsia="en-US"/>
              </w:rPr>
              <w:t xml:space="preserve"> </w:t>
            </w:r>
            <w:proofErr w:type="spellStart"/>
            <w:r w:rsidR="004817B7">
              <w:rPr>
                <w:rFonts w:eastAsia="Calibri"/>
                <w:sz w:val="22"/>
                <w:szCs w:val="22"/>
                <w:lang w:eastAsia="en-US"/>
              </w:rPr>
              <w:t>Гравжишки</w:t>
            </w:r>
            <w:proofErr w:type="spellEnd"/>
            <w:r w:rsidRPr="00DC736E">
              <w:rPr>
                <w:rFonts w:eastAsia="Calibri"/>
                <w:sz w:val="22"/>
                <w:szCs w:val="22"/>
                <w:lang w:eastAsia="en-US"/>
              </w:rPr>
              <w:t xml:space="preserve">, </w:t>
            </w:r>
            <w:r w:rsidRPr="008F5E15">
              <w:rPr>
                <w:rFonts w:eastAsia="Calibri"/>
                <w:sz w:val="22"/>
                <w:szCs w:val="22"/>
                <w:lang w:eastAsia="en-US"/>
              </w:rPr>
              <w:t>ул.</w:t>
            </w:r>
            <w:r>
              <w:rPr>
                <w:rFonts w:eastAsia="Calibri"/>
                <w:sz w:val="22"/>
                <w:szCs w:val="22"/>
                <w:lang w:eastAsia="en-US"/>
              </w:rPr>
              <w:t xml:space="preserve"> </w:t>
            </w:r>
            <w:proofErr w:type="gramStart"/>
            <w:r w:rsidR="004817B7">
              <w:rPr>
                <w:rFonts w:eastAsia="Calibri"/>
                <w:sz w:val="22"/>
                <w:szCs w:val="22"/>
                <w:lang w:eastAsia="en-US"/>
              </w:rPr>
              <w:t>Советская,  26</w:t>
            </w:r>
            <w:proofErr w:type="gramEnd"/>
            <w:r>
              <w:rPr>
                <w:rFonts w:eastAsia="Calibri"/>
                <w:sz w:val="22"/>
                <w:szCs w:val="22"/>
                <w:lang w:eastAsia="en-US"/>
              </w:rPr>
              <w:t xml:space="preserve">, </w:t>
            </w:r>
            <w:r w:rsidRPr="00DC736E">
              <w:rPr>
                <w:rFonts w:eastAsia="Calibri"/>
                <w:sz w:val="22"/>
                <w:szCs w:val="22"/>
                <w:lang w:eastAsia="en-US"/>
              </w:rPr>
              <w:t>ре</w:t>
            </w:r>
            <w:r w:rsidRPr="00DC736E">
              <w:rPr>
                <w:sz w:val="22"/>
                <w:szCs w:val="22"/>
              </w:rPr>
              <w:t xml:space="preserve">комендуется предварительный осмотр до приобретения. По вопросу ознакомления с предметом торгов </w:t>
            </w:r>
            <w:r w:rsidR="004817B7">
              <w:rPr>
                <w:sz w:val="22"/>
                <w:szCs w:val="22"/>
              </w:rPr>
              <w:t>обращаться по т. +375 291122937</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Организатор торгов</w:t>
            </w:r>
          </w:p>
        </w:tc>
        <w:tc>
          <w:tcPr>
            <w:tcW w:w="7365" w:type="dxa"/>
          </w:tcPr>
          <w:p w:rsidR="003C5478" w:rsidRPr="00FE28CB" w:rsidRDefault="003C5478" w:rsidP="00FC20F0">
            <w:pPr>
              <w:jc w:val="both"/>
              <w:rPr>
                <w:sz w:val="22"/>
                <w:szCs w:val="22"/>
              </w:rPr>
            </w:pPr>
            <w:r w:rsidRPr="00DC736E">
              <w:rPr>
                <w:sz w:val="22"/>
                <w:szCs w:val="22"/>
              </w:rPr>
              <w:t>Коммунальное унитарное предп</w:t>
            </w:r>
            <w:r w:rsidR="004817B7">
              <w:rPr>
                <w:sz w:val="22"/>
                <w:szCs w:val="22"/>
              </w:rPr>
              <w:t>риятие по оказанию услуг «Ошмян</w:t>
            </w:r>
            <w:r w:rsidRPr="00DC736E">
              <w:rPr>
                <w:sz w:val="22"/>
                <w:szCs w:val="22"/>
              </w:rPr>
              <w:t>ский центр по банкротству и ан</w:t>
            </w:r>
            <w:r w:rsidR="004817B7">
              <w:rPr>
                <w:sz w:val="22"/>
                <w:szCs w:val="22"/>
              </w:rPr>
              <w:t>тикризисному управлению», 231103, город Ошмяны, улица Советская, 103 кабинет 49, т/ф +375159344223</w:t>
            </w:r>
            <w:r w:rsidRPr="00DC736E">
              <w:rPr>
                <w:sz w:val="22"/>
                <w:szCs w:val="22"/>
              </w:rPr>
              <w:t xml:space="preserve">, </w:t>
            </w:r>
            <w:r w:rsidRPr="00DC736E">
              <w:rPr>
                <w:sz w:val="22"/>
                <w:szCs w:val="22"/>
                <w:lang w:val="en-US"/>
              </w:rPr>
              <w:t>e</w:t>
            </w:r>
            <w:r w:rsidRPr="00DC736E">
              <w:rPr>
                <w:sz w:val="22"/>
                <w:szCs w:val="22"/>
              </w:rPr>
              <w:t>-</w:t>
            </w:r>
            <w:r w:rsidRPr="00DC736E">
              <w:rPr>
                <w:sz w:val="22"/>
                <w:szCs w:val="22"/>
                <w:lang w:val="en-US"/>
              </w:rPr>
              <w:t>mail</w:t>
            </w:r>
            <w:r w:rsidR="00FE28CB">
              <w:rPr>
                <w:sz w:val="22"/>
                <w:szCs w:val="22"/>
              </w:rPr>
              <w:t xml:space="preserve">: </w:t>
            </w:r>
            <w:proofErr w:type="spellStart"/>
            <w:r w:rsidR="00FE28CB">
              <w:rPr>
                <w:sz w:val="22"/>
                <w:szCs w:val="22"/>
              </w:rPr>
              <w:t>oshm</w:t>
            </w:r>
            <w:proofErr w:type="spellEnd"/>
            <w:r w:rsidR="00FE28CB">
              <w:rPr>
                <w:sz w:val="22"/>
                <w:szCs w:val="22"/>
              </w:rPr>
              <w:t>.</w:t>
            </w:r>
            <w:proofErr w:type="spellStart"/>
            <w:r w:rsidR="00FE28CB">
              <w:rPr>
                <w:sz w:val="22"/>
                <w:szCs w:val="22"/>
                <w:lang w:val="en-US"/>
              </w:rPr>
              <w:t>anticrisis</w:t>
            </w:r>
            <w:proofErr w:type="spellEnd"/>
            <w:r w:rsidR="00FE28CB">
              <w:rPr>
                <w:sz w:val="22"/>
                <w:szCs w:val="22"/>
              </w:rPr>
              <w:t>@tut.by</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Продавец</w:t>
            </w:r>
          </w:p>
        </w:tc>
        <w:tc>
          <w:tcPr>
            <w:tcW w:w="7365" w:type="dxa"/>
          </w:tcPr>
          <w:p w:rsidR="003C5478" w:rsidRPr="00DC736E" w:rsidRDefault="003C5478" w:rsidP="00FC20F0">
            <w:pPr>
              <w:jc w:val="both"/>
              <w:rPr>
                <w:rFonts w:eastAsia="Calibri"/>
                <w:sz w:val="22"/>
                <w:szCs w:val="22"/>
                <w:lang w:eastAsia="en-US"/>
              </w:rPr>
            </w:pPr>
            <w:r w:rsidRPr="00AB6878">
              <w:rPr>
                <w:sz w:val="22"/>
                <w:szCs w:val="22"/>
              </w:rPr>
              <w:t>Коммунальное сельскохозяйственное у</w:t>
            </w:r>
            <w:r w:rsidR="004817B7">
              <w:rPr>
                <w:sz w:val="22"/>
                <w:szCs w:val="22"/>
              </w:rPr>
              <w:t>нитарное предприятие «</w:t>
            </w:r>
            <w:proofErr w:type="spellStart"/>
            <w:r w:rsidR="004817B7">
              <w:rPr>
                <w:sz w:val="22"/>
                <w:szCs w:val="22"/>
              </w:rPr>
              <w:t>Гравжишки</w:t>
            </w:r>
            <w:proofErr w:type="spellEnd"/>
            <w:r w:rsidRPr="00AB6878">
              <w:rPr>
                <w:sz w:val="22"/>
                <w:szCs w:val="22"/>
              </w:rPr>
              <w:t>»</w:t>
            </w:r>
            <w:r w:rsidR="00FE28CB">
              <w:rPr>
                <w:sz w:val="22"/>
                <w:szCs w:val="22"/>
              </w:rPr>
              <w:t>, 231111</w:t>
            </w:r>
            <w:r w:rsidRPr="00DC736E">
              <w:rPr>
                <w:sz w:val="22"/>
                <w:szCs w:val="22"/>
              </w:rPr>
              <w:t xml:space="preserve">, </w:t>
            </w:r>
            <w:proofErr w:type="spellStart"/>
            <w:r w:rsidRPr="00DC736E">
              <w:rPr>
                <w:sz w:val="22"/>
                <w:szCs w:val="22"/>
              </w:rPr>
              <w:t>агрогородок</w:t>
            </w:r>
            <w:proofErr w:type="spellEnd"/>
            <w:r w:rsidRPr="00DC736E">
              <w:rPr>
                <w:sz w:val="22"/>
                <w:szCs w:val="22"/>
              </w:rPr>
              <w:t xml:space="preserve"> </w:t>
            </w:r>
            <w:proofErr w:type="spellStart"/>
            <w:r w:rsidR="00FE28CB">
              <w:rPr>
                <w:sz w:val="22"/>
                <w:szCs w:val="22"/>
              </w:rPr>
              <w:t>Гравжишки</w:t>
            </w:r>
            <w:proofErr w:type="spellEnd"/>
            <w:r w:rsidR="00FE28CB">
              <w:rPr>
                <w:sz w:val="22"/>
                <w:szCs w:val="22"/>
              </w:rPr>
              <w:t>, Ошмян</w:t>
            </w:r>
            <w:r w:rsidRPr="00DC736E">
              <w:rPr>
                <w:sz w:val="22"/>
                <w:szCs w:val="22"/>
              </w:rPr>
              <w:t xml:space="preserve">ский район, </w:t>
            </w:r>
            <w:r w:rsidRPr="00DC736E">
              <w:rPr>
                <w:sz w:val="22"/>
                <w:szCs w:val="22"/>
              </w:rPr>
              <w:lastRenderedPageBreak/>
              <w:t xml:space="preserve">Гродненская область, </w:t>
            </w:r>
            <w:r w:rsidR="00FE28CB">
              <w:rPr>
                <w:sz w:val="22"/>
                <w:szCs w:val="22"/>
              </w:rPr>
              <w:t>ул. Советская 26</w:t>
            </w:r>
            <w:r>
              <w:rPr>
                <w:sz w:val="22"/>
                <w:szCs w:val="22"/>
              </w:rPr>
              <w:t xml:space="preserve">, </w:t>
            </w:r>
            <w:r w:rsidRPr="00DC736E">
              <w:rPr>
                <w:sz w:val="22"/>
                <w:szCs w:val="22"/>
              </w:rPr>
              <w:t xml:space="preserve">УНП </w:t>
            </w:r>
            <w:r w:rsidR="00FE28CB">
              <w:rPr>
                <w:sz w:val="22"/>
                <w:szCs w:val="22"/>
              </w:rPr>
              <w:t>500117257</w:t>
            </w:r>
            <w:r w:rsidRPr="00DC736E">
              <w:rPr>
                <w:sz w:val="22"/>
                <w:szCs w:val="22"/>
              </w:rPr>
              <w:t>, расчетный счет BY</w:t>
            </w:r>
            <w:r w:rsidR="00FE28CB">
              <w:rPr>
                <w:sz w:val="22"/>
                <w:szCs w:val="22"/>
              </w:rPr>
              <w:t>71ВАРВ3012485590014</w:t>
            </w:r>
            <w:r>
              <w:rPr>
                <w:sz w:val="22"/>
                <w:szCs w:val="22"/>
              </w:rPr>
              <w:t>0000000</w:t>
            </w:r>
            <w:r w:rsidRPr="00DC736E">
              <w:rPr>
                <w:sz w:val="22"/>
                <w:szCs w:val="22"/>
              </w:rPr>
              <w:t xml:space="preserve"> в ОАО «</w:t>
            </w:r>
            <w:proofErr w:type="spellStart"/>
            <w:r w:rsidRPr="00DC736E">
              <w:rPr>
                <w:sz w:val="22"/>
                <w:szCs w:val="22"/>
              </w:rPr>
              <w:t>Белаг</w:t>
            </w:r>
            <w:r w:rsidR="00FE28CB">
              <w:rPr>
                <w:sz w:val="22"/>
                <w:szCs w:val="22"/>
              </w:rPr>
              <w:t>ропромбанк</w:t>
            </w:r>
            <w:proofErr w:type="spellEnd"/>
            <w:r w:rsidR="00FE28CB">
              <w:rPr>
                <w:sz w:val="22"/>
                <w:szCs w:val="22"/>
              </w:rPr>
              <w:t>», БИК BAPBBY2X, т/ф +375 1593</w:t>
            </w:r>
            <w:r w:rsidRPr="00DC736E">
              <w:rPr>
                <w:sz w:val="22"/>
                <w:szCs w:val="22"/>
              </w:rPr>
              <w:t xml:space="preserve"> </w:t>
            </w:r>
            <w:r w:rsidR="00FE28CB">
              <w:rPr>
                <w:sz w:val="22"/>
                <w:szCs w:val="22"/>
              </w:rPr>
              <w:t>20212</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lastRenderedPageBreak/>
              <w:t>Условия конкурса</w:t>
            </w: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tc>
        <w:tc>
          <w:tcPr>
            <w:tcW w:w="7365" w:type="dxa"/>
          </w:tcPr>
          <w:p w:rsidR="00B07CDB" w:rsidRPr="00B07CDB" w:rsidRDefault="003C5478" w:rsidP="00B07CDB">
            <w:pPr>
              <w:pStyle w:val="a8"/>
              <w:numPr>
                <w:ilvl w:val="0"/>
                <w:numId w:val="3"/>
              </w:numPr>
              <w:jc w:val="both"/>
              <w:rPr>
                <w:spacing w:val="3"/>
                <w:sz w:val="22"/>
                <w:szCs w:val="22"/>
              </w:rPr>
            </w:pPr>
            <w:r w:rsidRPr="00B07CDB">
              <w:rPr>
                <w:sz w:val="22"/>
                <w:szCs w:val="22"/>
              </w:rPr>
              <w:t>С</w:t>
            </w:r>
            <w:r w:rsidRPr="00B07CDB">
              <w:rPr>
                <w:spacing w:val="3"/>
                <w:sz w:val="22"/>
                <w:szCs w:val="22"/>
              </w:rPr>
              <w:t xml:space="preserve">охранение на предприятии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 (далее – Покупатель), </w:t>
            </w:r>
            <w:r w:rsidR="00707438" w:rsidRPr="00B07CDB">
              <w:rPr>
                <w:spacing w:val="3"/>
                <w:sz w:val="22"/>
                <w:szCs w:val="22"/>
              </w:rPr>
              <w:t>назначения продаваемых объектов недвижимости для целей производства</w:t>
            </w:r>
            <w:r w:rsidR="00B07CDB" w:rsidRPr="00B07CDB">
              <w:rPr>
                <w:spacing w:val="3"/>
                <w:sz w:val="22"/>
                <w:szCs w:val="22"/>
              </w:rPr>
              <w:t xml:space="preserve"> сельскохозяйственной продукции. </w:t>
            </w:r>
          </w:p>
          <w:p w:rsidR="003C5478" w:rsidRPr="00B07CDB" w:rsidRDefault="00B07CDB" w:rsidP="00B07CDB">
            <w:pPr>
              <w:pStyle w:val="a8"/>
              <w:numPr>
                <w:ilvl w:val="0"/>
                <w:numId w:val="3"/>
              </w:numPr>
              <w:jc w:val="both"/>
              <w:rPr>
                <w:spacing w:val="3"/>
                <w:sz w:val="22"/>
                <w:szCs w:val="22"/>
              </w:rPr>
            </w:pPr>
            <w:r>
              <w:rPr>
                <w:spacing w:val="3"/>
                <w:sz w:val="22"/>
                <w:szCs w:val="22"/>
              </w:rPr>
              <w:t>С</w:t>
            </w:r>
            <w:r w:rsidR="00707438" w:rsidRPr="00B07CDB">
              <w:rPr>
                <w:spacing w:val="3"/>
                <w:sz w:val="22"/>
                <w:szCs w:val="22"/>
              </w:rPr>
              <w:t>охранение рабочих мест в течение трех лет с момента заключения договора купли-продажи.</w:t>
            </w:r>
          </w:p>
        </w:tc>
      </w:tr>
      <w:tr w:rsidR="003C5478" w:rsidRPr="00806139" w:rsidTr="00FC20F0">
        <w:tc>
          <w:tcPr>
            <w:tcW w:w="1980" w:type="dxa"/>
          </w:tcPr>
          <w:p w:rsidR="003C5478" w:rsidRPr="00A80703" w:rsidRDefault="003C5478" w:rsidP="00FC20F0">
            <w:pPr>
              <w:jc w:val="center"/>
              <w:rPr>
                <w:rFonts w:eastAsia="Calibri"/>
                <w:sz w:val="22"/>
                <w:szCs w:val="22"/>
                <w:lang w:eastAsia="en-US"/>
              </w:rPr>
            </w:pPr>
            <w:r w:rsidRPr="00A80703">
              <w:rPr>
                <w:sz w:val="22"/>
                <w:szCs w:val="22"/>
              </w:rPr>
              <w:t>Сроки приема заявок на участие в конкурсе и прилагаемых к ним документов</w:t>
            </w:r>
          </w:p>
          <w:p w:rsidR="003C5478" w:rsidRPr="00A80703" w:rsidRDefault="003C5478" w:rsidP="00FC20F0">
            <w:pPr>
              <w:jc w:val="center"/>
              <w:rPr>
                <w:rFonts w:eastAsia="Calibri"/>
                <w:sz w:val="22"/>
                <w:szCs w:val="22"/>
                <w:lang w:eastAsia="en-US"/>
              </w:rPr>
            </w:pPr>
          </w:p>
        </w:tc>
        <w:tc>
          <w:tcPr>
            <w:tcW w:w="7365" w:type="dxa"/>
          </w:tcPr>
          <w:p w:rsidR="003C5478" w:rsidRPr="00A80703" w:rsidRDefault="003C5478" w:rsidP="00FC20F0">
            <w:pPr>
              <w:jc w:val="both"/>
              <w:rPr>
                <w:rFonts w:eastAsiaTheme="minorEastAsia"/>
                <w:sz w:val="22"/>
                <w:szCs w:val="22"/>
              </w:rPr>
            </w:pPr>
            <w:r w:rsidRPr="00A80703">
              <w:rPr>
                <w:rFonts w:eastAsiaTheme="minorHAnsi"/>
                <w:sz w:val="22"/>
                <w:szCs w:val="22"/>
                <w:lang w:eastAsia="en-US"/>
              </w:rPr>
              <w:t xml:space="preserve">         Заявки на участие в торгах и прилагаемые документы принимаются в рабочее время в срок до </w:t>
            </w:r>
            <w:r w:rsidRPr="00B64C6A">
              <w:rPr>
                <w:rFonts w:eastAsiaTheme="minorHAnsi"/>
                <w:color w:val="FF0000"/>
                <w:sz w:val="22"/>
                <w:szCs w:val="22"/>
                <w:u w:val="single"/>
                <w:lang w:eastAsia="en-US"/>
              </w:rPr>
              <w:t xml:space="preserve">15:00 </w:t>
            </w:r>
            <w:r w:rsidR="00010F66">
              <w:rPr>
                <w:rFonts w:eastAsiaTheme="minorHAnsi"/>
                <w:color w:val="FF0000"/>
                <w:sz w:val="22"/>
                <w:szCs w:val="22"/>
                <w:u w:val="single"/>
                <w:lang w:eastAsia="en-US"/>
              </w:rPr>
              <w:t>28</w:t>
            </w:r>
            <w:r w:rsidR="00F736EA">
              <w:rPr>
                <w:rFonts w:eastAsiaTheme="minorHAnsi"/>
                <w:color w:val="FF0000"/>
                <w:sz w:val="22"/>
                <w:szCs w:val="22"/>
                <w:u w:val="single"/>
                <w:lang w:eastAsia="en-US"/>
              </w:rPr>
              <w:t>.10</w:t>
            </w:r>
            <w:r w:rsidRPr="00B64C6A">
              <w:rPr>
                <w:rFonts w:eastAsiaTheme="minorHAnsi"/>
                <w:color w:val="FF0000"/>
                <w:sz w:val="22"/>
                <w:szCs w:val="22"/>
                <w:u w:val="single"/>
                <w:lang w:eastAsia="en-US"/>
              </w:rPr>
              <w:t>.2020</w:t>
            </w:r>
            <w:r w:rsidRPr="00A80703">
              <w:rPr>
                <w:rFonts w:eastAsiaTheme="minorHAnsi"/>
                <w:sz w:val="22"/>
                <w:szCs w:val="22"/>
                <w:lang w:eastAsia="en-US"/>
              </w:rPr>
              <w:t xml:space="preserve"> по адресу: </w:t>
            </w:r>
            <w:r w:rsidR="00FE28CB">
              <w:rPr>
                <w:sz w:val="22"/>
                <w:szCs w:val="22"/>
              </w:rPr>
              <w:t>231103, город Ошмяны, улица Советская, 103 кабинет 49</w:t>
            </w:r>
            <w:r w:rsidRPr="00A80703">
              <w:rPr>
                <w:rFonts w:eastAsiaTheme="minorHAnsi"/>
                <w:sz w:val="22"/>
                <w:szCs w:val="22"/>
                <w:lang w:eastAsia="en-US"/>
              </w:rPr>
              <w:t xml:space="preserve">. Время работы: понедельник-пятница с 8:00 до 13:00 и с 14:00 до 17:00. Заявка на участие в торгах подается с приложением </w:t>
            </w:r>
            <w:r w:rsidRPr="00A80703">
              <w:rPr>
                <w:rFonts w:eastAsiaTheme="minorEastAsia"/>
                <w:sz w:val="22"/>
                <w:szCs w:val="22"/>
              </w:rPr>
              <w:t>следующих документов:</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заверенного банком документа, подтверждающего внесение суммы задатка на банковский счет, указанный в извещении о проведении торгов;</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индивидуального предпринимателя – копии свидетельства о государственной регистрации индивидуального предпринимателя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юридического лица – доверенности, выданной представителю юридического лица (кроме случаев, когда юридическое лицо представляет его руководитель), а также копии свидетельства о государственной регистрации юридического лица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иностранного юридического лица, иностранной организации, не являющейся юридическим лицом, созданной в соответствии с законодательством иностранных государств иностранным государством и его административно-территориальными единицами в лице уполномоченных органов, международной организации – легализованных в установленном порядке копий учредительных документов, выписки из торгового реестра страны происхождения (выписка должна быть подготовлена в течение шести месяцев до подачи заявления на участие в торгах) либо иного эквивалентного доказательства статуса юридического лица в соответствии с законодательством страны происхождения, документа о финансовой состоятельности, выданного обслуживающим банком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представителя гражданина Республики Беларусь, в том числе индивидуального предпринимателя, – доверенности, оформленной в соответствии с законодательством.</w:t>
            </w:r>
          </w:p>
          <w:p w:rsidR="003C5478" w:rsidRPr="00FE28CB" w:rsidRDefault="003C5478" w:rsidP="00FC20F0">
            <w:pPr>
              <w:jc w:val="both"/>
              <w:rPr>
                <w:rFonts w:eastAsiaTheme="minorHAnsi"/>
                <w:sz w:val="22"/>
                <w:szCs w:val="22"/>
                <w:lang w:eastAsia="en-US"/>
              </w:rPr>
            </w:pPr>
            <w:r w:rsidRPr="00A80703">
              <w:rPr>
                <w:rFonts w:eastAsiaTheme="minorHAnsi"/>
                <w:sz w:val="22"/>
                <w:szCs w:val="22"/>
                <w:lang w:eastAsia="en-US"/>
              </w:rPr>
              <w:t xml:space="preserve">         При подаче документов на участие в торгах граждане Республики Беларусь, иностранные граждане и лица без гражданства, а также граждане Республики Беларусь, постоянно проживающие за пределами Республики Беларусь, в том числе представители юридических лиц Республики Беларусь, предъявляют паспорт или иной документ, удостоверяющий личность.</w:t>
            </w:r>
          </w:p>
        </w:tc>
      </w:tr>
      <w:tr w:rsidR="003C5478" w:rsidRPr="00806139" w:rsidTr="00FC20F0">
        <w:tc>
          <w:tcPr>
            <w:tcW w:w="1980" w:type="dxa"/>
          </w:tcPr>
          <w:p w:rsidR="003C5478" w:rsidRPr="008F0937" w:rsidRDefault="003C5478" w:rsidP="00FC20F0">
            <w:pPr>
              <w:jc w:val="center"/>
              <w:rPr>
                <w:rFonts w:eastAsia="Calibri"/>
                <w:sz w:val="22"/>
                <w:szCs w:val="22"/>
                <w:lang w:eastAsia="en-US"/>
              </w:rPr>
            </w:pPr>
            <w:r w:rsidRPr="008F0937">
              <w:rPr>
                <w:sz w:val="22"/>
                <w:szCs w:val="22"/>
              </w:rPr>
              <w:t>Порядок оформления участия в конкурсе</w:t>
            </w: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tc>
        <w:tc>
          <w:tcPr>
            <w:tcW w:w="7365" w:type="dxa"/>
          </w:tcPr>
          <w:p w:rsidR="003C5478" w:rsidRPr="008F0937" w:rsidRDefault="003C5478" w:rsidP="00FC20F0">
            <w:pPr>
              <w:ind w:firstLine="567"/>
              <w:jc w:val="both"/>
              <w:rPr>
                <w:rFonts w:eastAsiaTheme="minorEastAsia"/>
                <w:sz w:val="22"/>
                <w:szCs w:val="22"/>
              </w:rPr>
            </w:pPr>
            <w:r w:rsidRPr="008F0937">
              <w:rPr>
                <w:rFonts w:eastAsiaTheme="minorEastAsia"/>
                <w:sz w:val="22"/>
                <w:szCs w:val="22"/>
              </w:rPr>
              <w:lastRenderedPageBreak/>
              <w:t>К участию в конкурсе допускаются лица, подавшие организатору торгов в установленный срок заявку с приложением необходимых документов, которая зарегистрирована в журнале регистрации заявлений на участие в торгах.</w:t>
            </w:r>
          </w:p>
          <w:p w:rsidR="003C5478" w:rsidRPr="008F0937" w:rsidRDefault="003C5478" w:rsidP="00FE28CB">
            <w:pPr>
              <w:ind w:firstLine="567"/>
              <w:jc w:val="both"/>
              <w:rPr>
                <w:sz w:val="22"/>
                <w:szCs w:val="22"/>
              </w:rPr>
            </w:pPr>
            <w:r w:rsidRPr="008F0937">
              <w:rPr>
                <w:rFonts w:eastAsiaTheme="minorEastAsia"/>
                <w:sz w:val="22"/>
                <w:szCs w:val="22"/>
              </w:rPr>
              <w:t xml:space="preserve">В день проведения торгов перед их началом участники обязаны зарегистрироваться у организатора торгов и получить аукционные (конкурсные) номера, которые возвращаются организатору торгов после их </w:t>
            </w:r>
            <w:r w:rsidRPr="008F0937">
              <w:rPr>
                <w:rFonts w:eastAsiaTheme="minorEastAsia"/>
                <w:sz w:val="22"/>
                <w:szCs w:val="22"/>
              </w:rPr>
              <w:lastRenderedPageBreak/>
              <w:t>окончания.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lastRenderedPageBreak/>
              <w:t>Критерии выявления победителя конкурса, оформление результатов торгов</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rFonts w:eastAsiaTheme="minorEastAsia"/>
                <w:sz w:val="22"/>
                <w:szCs w:val="22"/>
              </w:rPr>
              <w:t xml:space="preserve">         Предложения участников, представленные на конкурс в запечатанном конверте, являются окончательными и уточняться в ходе конкурса не могут. </w:t>
            </w:r>
            <w:r w:rsidRPr="008F0937">
              <w:rPr>
                <w:sz w:val="22"/>
                <w:szCs w:val="22"/>
              </w:rPr>
              <w:t xml:space="preserve">Победителем конкурса будет признан участник, предложивший, по мнению комиссии по проведению торгов, лучшие условия. В случае если предложения двух и более участников полностью соответствуют условиям конкурса и являются аналогичными по существу, победителем будет признан участник, предложивший наивысшую цену. </w:t>
            </w:r>
          </w:p>
          <w:p w:rsidR="003C5478" w:rsidRDefault="003C5478" w:rsidP="00FC20F0">
            <w:pPr>
              <w:jc w:val="both"/>
              <w:rPr>
                <w:sz w:val="22"/>
                <w:szCs w:val="22"/>
              </w:rPr>
            </w:pPr>
            <w:r w:rsidRPr="008F0937">
              <w:rPr>
                <w:sz w:val="22"/>
                <w:szCs w:val="22"/>
              </w:rPr>
              <w:t xml:space="preserve">         В случае признания торгов несостоявшимися в связи с подачей заявки только одним участником или явки на торги одного из участников и при соответствии предложений претендента на покупку условиям конкурса производится продажа предмета конкурса этому претенденту на предложенных им условиях. При прочих равных условиях пре имущественное право на приобретение указанного имущества принадлежит сельскохозяйственным организациям, расположенным в этой местности.</w:t>
            </w:r>
          </w:p>
          <w:p w:rsidR="00F736EA" w:rsidRPr="008F0937" w:rsidRDefault="00F736EA" w:rsidP="00FC20F0">
            <w:pPr>
              <w:jc w:val="both"/>
              <w:rPr>
                <w:sz w:val="22"/>
                <w:szCs w:val="22"/>
              </w:rPr>
            </w:pPr>
            <w:r>
              <w:rPr>
                <w:sz w:val="22"/>
                <w:szCs w:val="22"/>
              </w:rPr>
              <w:t xml:space="preserve">         При реализации сельскохозяйственного предприятия как имущественного комплекса на торгах в форме конкурса и наличии только одного участника торгов, предмет торгов подлежит продаже по начальной цене, увеличенной на 5 процентов.</w:t>
            </w:r>
          </w:p>
          <w:p w:rsidR="003C5478" w:rsidRPr="00FE28CB" w:rsidRDefault="003C5478" w:rsidP="00FE28CB">
            <w:pPr>
              <w:jc w:val="both"/>
              <w:rPr>
                <w:sz w:val="22"/>
                <w:szCs w:val="22"/>
              </w:rPr>
            </w:pPr>
            <w:r w:rsidRPr="008F0937">
              <w:rPr>
                <w:sz w:val="22"/>
                <w:szCs w:val="22"/>
              </w:rPr>
              <w:t xml:space="preserve">         В день проведения конкурса объявляется решение о победителе конкурса, в этот же день результаты торгов оформляются протоколом, который подписывает победитель конкурса. </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Возмещение затрат на организацию и проведение торгов</w:t>
            </w:r>
          </w:p>
          <w:p w:rsidR="003C5478" w:rsidRPr="008F0937" w:rsidRDefault="003C5478" w:rsidP="00F736EA">
            <w:pPr>
              <w:rPr>
                <w:sz w:val="22"/>
                <w:szCs w:val="22"/>
              </w:rPr>
            </w:pPr>
          </w:p>
        </w:tc>
        <w:tc>
          <w:tcPr>
            <w:tcW w:w="7365" w:type="dxa"/>
          </w:tcPr>
          <w:p w:rsidR="00FE28CB" w:rsidRPr="00FE28CB" w:rsidRDefault="003C5478" w:rsidP="00FC20F0">
            <w:pPr>
              <w:jc w:val="both"/>
              <w:rPr>
                <w:sz w:val="22"/>
                <w:szCs w:val="22"/>
              </w:rPr>
            </w:pPr>
            <w:r w:rsidRPr="008F0937">
              <w:rPr>
                <w:sz w:val="22"/>
                <w:szCs w:val="22"/>
              </w:rPr>
              <w:t>Возмещение затрат на организацию и проведение конкурса производится победителем конкурса по фактическим затратам (расходы на проведение конкурса; расходы на проведение оценки имущества, выставленного на торги). Победитель торгов обязан перечислить на расчетный счет продавца сумму фактических затрат в течение 5 дней со дня проведения конкурса.</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Срок подписания и условия договора купли-продажи предмета торгов, условия оплаты</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sz w:val="22"/>
                <w:szCs w:val="22"/>
              </w:rPr>
              <w:t xml:space="preserve">После предъявления копий документов, подтверждающих возмещение затрат, связанных с организацией и проведением торгов, между продавцом и победителем конкурса заключается договор купли-продажи предмета торгов. Договор купли-продажи должен быть подписан не позднее 20 календарных дней со дня проведения конкурса. Оплата стоимости предприятия как имущественного комплекса производится победителем торгов в срок не позднее 30 дней со дня проведения торгов. </w:t>
            </w:r>
          </w:p>
          <w:p w:rsidR="003C5478" w:rsidRPr="008F0937" w:rsidRDefault="003C5478" w:rsidP="00FC20F0">
            <w:pPr>
              <w:jc w:val="both"/>
              <w:rPr>
                <w:spacing w:val="3"/>
                <w:sz w:val="22"/>
                <w:szCs w:val="22"/>
              </w:rPr>
            </w:pPr>
            <w:r w:rsidRPr="008F0937">
              <w:rPr>
                <w:spacing w:val="3"/>
                <w:sz w:val="22"/>
                <w:szCs w:val="22"/>
              </w:rPr>
              <w:t>В договор купли-продажи предприятия как имущественного комплекса (далее – Договор) подлежит включению следующее обязательное условие: возвратить пр</w:t>
            </w:r>
            <w:r w:rsidR="00FE28CB">
              <w:rPr>
                <w:spacing w:val="3"/>
                <w:sz w:val="22"/>
                <w:szCs w:val="22"/>
              </w:rPr>
              <w:t>едприятие в собственность Ошмян</w:t>
            </w:r>
            <w:r w:rsidRPr="008F0937">
              <w:rPr>
                <w:spacing w:val="3"/>
                <w:sz w:val="22"/>
                <w:szCs w:val="22"/>
              </w:rPr>
              <w:t>ского района в случае невыполнения услов</w:t>
            </w:r>
            <w:r w:rsidR="00FE28CB">
              <w:rPr>
                <w:spacing w:val="3"/>
                <w:sz w:val="22"/>
                <w:szCs w:val="22"/>
              </w:rPr>
              <w:t>ий Договора по требованию Ошмян</w:t>
            </w:r>
            <w:r w:rsidRPr="008F0937">
              <w:rPr>
                <w:spacing w:val="3"/>
                <w:sz w:val="22"/>
                <w:szCs w:val="22"/>
              </w:rPr>
              <w:t>ского райисполкома без возмещения стоимости произведенных неотделимых улучшений и возврата средств, уплаченных при продаже предприятия. При этом обязанности по погашению полученных Покупателем после заключения Договора кредитов и займов, обязательств по лизинговым платежам в состав возвращаемого Предприятия не включаются.</w:t>
            </w:r>
          </w:p>
          <w:p w:rsidR="003C5478" w:rsidRPr="00FE28CB" w:rsidRDefault="003C5478" w:rsidP="00FC20F0">
            <w:pPr>
              <w:jc w:val="both"/>
              <w:rPr>
                <w:sz w:val="22"/>
                <w:szCs w:val="22"/>
              </w:rPr>
            </w:pPr>
            <w:r w:rsidRPr="008F0937">
              <w:rPr>
                <w:sz w:val="22"/>
                <w:szCs w:val="22"/>
              </w:rPr>
              <w:t>Государственная регистрация имущественного комплекса, договора его купли-продажи, а также прав на этот комплекс, объекты недвижимости осуществляется покупателем за свой счет.</w:t>
            </w:r>
          </w:p>
        </w:tc>
      </w:tr>
      <w:tr w:rsidR="003C5478" w:rsidRPr="00806139" w:rsidTr="00FC20F0">
        <w:tc>
          <w:tcPr>
            <w:tcW w:w="1980" w:type="dxa"/>
          </w:tcPr>
          <w:p w:rsidR="003C5478" w:rsidRPr="008F0937" w:rsidRDefault="003C5478" w:rsidP="00FC20F0">
            <w:pPr>
              <w:jc w:val="center"/>
              <w:rPr>
                <w:rFonts w:eastAsia="Calibri"/>
                <w:sz w:val="22"/>
                <w:szCs w:val="22"/>
                <w:lang w:eastAsia="en-US"/>
              </w:rPr>
            </w:pPr>
            <w:r w:rsidRPr="008F0937">
              <w:rPr>
                <w:rFonts w:eastAsia="Calibri"/>
                <w:sz w:val="22"/>
                <w:szCs w:val="22"/>
                <w:lang w:eastAsia="en-US"/>
              </w:rPr>
              <w:t>Отказ от проведения торгов</w:t>
            </w:r>
          </w:p>
        </w:tc>
        <w:tc>
          <w:tcPr>
            <w:tcW w:w="7365" w:type="dxa"/>
          </w:tcPr>
          <w:p w:rsidR="003C5478" w:rsidRPr="00FE28CB" w:rsidRDefault="003C5478" w:rsidP="00FC20F0">
            <w:pPr>
              <w:jc w:val="both"/>
              <w:rPr>
                <w:rFonts w:eastAsiaTheme="minorHAnsi"/>
                <w:sz w:val="22"/>
                <w:szCs w:val="22"/>
                <w:lang w:eastAsia="en-US"/>
              </w:rPr>
            </w:pPr>
            <w:r w:rsidRPr="008F0937">
              <w:rPr>
                <w:rFonts w:eastAsiaTheme="minorHAnsi"/>
                <w:sz w:val="22"/>
                <w:szCs w:val="22"/>
                <w:lang w:eastAsia="en-US"/>
              </w:rPr>
              <w:t xml:space="preserve">Организатор торгов вправе отказаться от проведения торгов не позднее чем за 7 дней до даты проведения торгов.   </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Ограничения по кругу лиц</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bookmarkStart w:id="1" w:name="a645"/>
            <w:bookmarkEnd w:id="1"/>
            <w:r w:rsidRPr="008F0937">
              <w:rPr>
                <w:sz w:val="22"/>
                <w:szCs w:val="22"/>
              </w:rPr>
              <w:t>Совершение сделки, предусматривающей отчуждение имущества, части имущества должника лицам, в отношении которых судом вынесено решение о привлечении к субсидиарной ответственности, либо лицам, признанным приговором суда виновными в ложной экономической несостоятельности (банкротстве), сокрытии экономической несостоятельности (банкротства), преднамеренной экономической несостоятельности (банкротстве), препятствовании возмещению убытков кредитору (кредиторам), а также их близким родственникам, запрещено.</w:t>
            </w:r>
          </w:p>
        </w:tc>
      </w:tr>
      <w:tr w:rsidR="00637A81" w:rsidRPr="00806139" w:rsidTr="00FC20F0">
        <w:tc>
          <w:tcPr>
            <w:tcW w:w="1980" w:type="dxa"/>
          </w:tcPr>
          <w:p w:rsidR="00637A81" w:rsidRPr="008F0937" w:rsidRDefault="00637A81" w:rsidP="00FC20F0">
            <w:pPr>
              <w:jc w:val="center"/>
              <w:rPr>
                <w:sz w:val="22"/>
                <w:szCs w:val="22"/>
              </w:rPr>
            </w:pPr>
            <w:r>
              <w:rPr>
                <w:sz w:val="22"/>
                <w:szCs w:val="22"/>
              </w:rPr>
              <w:t>Ранее опубликованные извещения</w:t>
            </w:r>
          </w:p>
        </w:tc>
        <w:tc>
          <w:tcPr>
            <w:tcW w:w="7365" w:type="dxa"/>
          </w:tcPr>
          <w:p w:rsidR="00BC4781" w:rsidRDefault="00637A81" w:rsidP="00FC20F0">
            <w:pPr>
              <w:jc w:val="both"/>
              <w:rPr>
                <w:sz w:val="22"/>
                <w:szCs w:val="22"/>
              </w:rPr>
            </w:pPr>
            <w:r>
              <w:rPr>
                <w:sz w:val="22"/>
                <w:szCs w:val="22"/>
              </w:rPr>
              <w:t xml:space="preserve">ЕГРСБ, сайт </w:t>
            </w:r>
            <w:proofErr w:type="spellStart"/>
            <w:r>
              <w:rPr>
                <w:sz w:val="22"/>
                <w:szCs w:val="22"/>
                <w:lang w:val="en-US"/>
              </w:rPr>
              <w:t>bankrot</w:t>
            </w:r>
            <w:proofErr w:type="spellEnd"/>
            <w:r>
              <w:rPr>
                <w:sz w:val="22"/>
                <w:szCs w:val="22"/>
              </w:rPr>
              <w:t>.</w:t>
            </w:r>
            <w:proofErr w:type="spellStart"/>
            <w:r>
              <w:rPr>
                <w:sz w:val="22"/>
                <w:szCs w:val="22"/>
                <w:lang w:val="en-US"/>
              </w:rPr>
              <w:t>gov</w:t>
            </w:r>
            <w:proofErr w:type="spellEnd"/>
            <w:r>
              <w:rPr>
                <w:sz w:val="22"/>
                <w:szCs w:val="22"/>
              </w:rPr>
              <w:t>.</w:t>
            </w:r>
            <w:r>
              <w:rPr>
                <w:sz w:val="22"/>
                <w:szCs w:val="22"/>
                <w:lang w:val="en-US"/>
              </w:rPr>
              <w:t>by</w:t>
            </w:r>
            <w:r>
              <w:rPr>
                <w:sz w:val="22"/>
                <w:szCs w:val="22"/>
              </w:rPr>
              <w:t>, объя</w:t>
            </w:r>
            <w:r w:rsidR="00BC4781">
              <w:rPr>
                <w:sz w:val="22"/>
                <w:szCs w:val="22"/>
              </w:rPr>
              <w:t>вление № 00056451 от 07.09.2020 и</w:t>
            </w:r>
            <w:r w:rsidR="00010F66">
              <w:rPr>
                <w:sz w:val="22"/>
                <w:szCs w:val="22"/>
              </w:rPr>
              <w:t xml:space="preserve"> </w:t>
            </w:r>
            <w:r w:rsidR="00BC4781">
              <w:rPr>
                <w:sz w:val="22"/>
                <w:szCs w:val="22"/>
              </w:rPr>
              <w:t xml:space="preserve">     </w:t>
            </w:r>
          </w:p>
          <w:p w:rsidR="00637A81" w:rsidRPr="008F0937" w:rsidRDefault="00010F66" w:rsidP="00FC20F0">
            <w:pPr>
              <w:jc w:val="both"/>
              <w:rPr>
                <w:sz w:val="22"/>
                <w:szCs w:val="22"/>
              </w:rPr>
            </w:pPr>
            <w:r>
              <w:rPr>
                <w:sz w:val="22"/>
                <w:szCs w:val="22"/>
              </w:rPr>
              <w:t>№</w:t>
            </w:r>
            <w:r w:rsidR="00BC4781">
              <w:rPr>
                <w:sz w:val="22"/>
                <w:szCs w:val="22"/>
              </w:rPr>
              <w:t xml:space="preserve"> 00057302</w:t>
            </w:r>
            <w:r>
              <w:rPr>
                <w:sz w:val="22"/>
                <w:szCs w:val="22"/>
              </w:rPr>
              <w:t xml:space="preserve"> от 25.09.2020,</w:t>
            </w:r>
            <w:r w:rsidR="00637A81">
              <w:rPr>
                <w:sz w:val="22"/>
                <w:szCs w:val="22"/>
              </w:rPr>
              <w:t xml:space="preserve"> газета «Гродзенская </w:t>
            </w:r>
            <w:proofErr w:type="spellStart"/>
            <w:r w:rsidR="00637A81">
              <w:rPr>
                <w:sz w:val="22"/>
                <w:szCs w:val="22"/>
              </w:rPr>
              <w:t>прауда</w:t>
            </w:r>
            <w:proofErr w:type="spellEnd"/>
            <w:r w:rsidR="00637A81">
              <w:rPr>
                <w:sz w:val="22"/>
                <w:szCs w:val="22"/>
              </w:rPr>
              <w:t>» от 05.09.2020</w:t>
            </w:r>
            <w:r>
              <w:rPr>
                <w:sz w:val="22"/>
                <w:szCs w:val="22"/>
              </w:rPr>
              <w:t xml:space="preserve"> и 26.09.2020</w:t>
            </w:r>
            <w:r w:rsidR="00637A81">
              <w:rPr>
                <w:sz w:val="22"/>
                <w:szCs w:val="22"/>
              </w:rPr>
              <w:t>.</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Дополнительная информация</w:t>
            </w: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sz w:val="22"/>
                <w:szCs w:val="22"/>
              </w:rPr>
              <w:t>Организация и проведение конкурса осуществляется на основании норм Закона Республики Беларусь от 13.07.2012 № 415-З «Об экономической несостоятельности (банкротстве)», Указа Президента Республики Беларусь от 04.07.2016 № 253 «О мерах по финансовому оздоровлению сельскохозяйственных организаций».</w:t>
            </w:r>
          </w:p>
        </w:tc>
      </w:tr>
    </w:tbl>
    <w:p w:rsidR="003C5478" w:rsidRDefault="003C5478" w:rsidP="003C5478">
      <w:pPr>
        <w:jc w:val="both"/>
        <w:rPr>
          <w:rFonts w:eastAsiaTheme="minorHAnsi"/>
          <w:sz w:val="22"/>
          <w:szCs w:val="22"/>
          <w:lang w:eastAsia="en-US"/>
        </w:rPr>
      </w:pPr>
      <w:r w:rsidRPr="00523AED">
        <w:rPr>
          <w:rFonts w:eastAsiaTheme="minorHAnsi"/>
          <w:sz w:val="22"/>
          <w:szCs w:val="22"/>
          <w:lang w:eastAsia="en-US"/>
        </w:rPr>
        <w:t xml:space="preserve">       </w:t>
      </w:r>
    </w:p>
    <w:p w:rsidR="003C5478" w:rsidRPr="00B75D40" w:rsidRDefault="003C5478" w:rsidP="003C5478">
      <w:pPr>
        <w:jc w:val="center"/>
        <w:rPr>
          <w:rFonts w:eastAsiaTheme="minorHAnsi"/>
          <w:sz w:val="22"/>
          <w:szCs w:val="22"/>
          <w:lang w:eastAsia="en-US"/>
        </w:rPr>
      </w:pPr>
      <w:r w:rsidRPr="00B75D40">
        <w:rPr>
          <w:rFonts w:eastAsiaTheme="minorHAnsi"/>
          <w:sz w:val="22"/>
          <w:szCs w:val="22"/>
          <w:lang w:eastAsia="en-US"/>
        </w:rPr>
        <w:t xml:space="preserve">Директор </w:t>
      </w:r>
      <w:r w:rsidRPr="00B75D40">
        <w:rPr>
          <w:rFonts w:eastAsiaTheme="minorHAnsi"/>
          <w:sz w:val="22"/>
          <w:szCs w:val="22"/>
          <w:lang w:eastAsia="en-US"/>
        </w:rPr>
        <w:tab/>
      </w:r>
      <w:r w:rsidRPr="00B75D40">
        <w:rPr>
          <w:rFonts w:eastAsiaTheme="minorHAnsi"/>
          <w:sz w:val="22"/>
          <w:szCs w:val="22"/>
          <w:lang w:eastAsia="en-US"/>
        </w:rPr>
        <w:tab/>
      </w:r>
      <w:r w:rsidRPr="00B75D40">
        <w:rPr>
          <w:rFonts w:eastAsiaTheme="minorHAnsi"/>
          <w:sz w:val="22"/>
          <w:szCs w:val="22"/>
          <w:lang w:eastAsia="en-US"/>
        </w:rPr>
        <w:tab/>
      </w:r>
      <w:r w:rsidRPr="00B75D40">
        <w:rPr>
          <w:rFonts w:eastAsiaTheme="minorHAnsi"/>
          <w:sz w:val="22"/>
          <w:szCs w:val="22"/>
          <w:lang w:eastAsia="en-US"/>
        </w:rPr>
        <w:tab/>
      </w:r>
      <w:r w:rsidRPr="00B75D40">
        <w:rPr>
          <w:rFonts w:eastAsiaTheme="minorHAnsi"/>
          <w:sz w:val="22"/>
          <w:szCs w:val="22"/>
          <w:lang w:eastAsia="en-US"/>
        </w:rPr>
        <w:tab/>
      </w:r>
      <w:r w:rsidR="00FE28CB">
        <w:rPr>
          <w:rFonts w:eastAsiaTheme="minorHAnsi"/>
          <w:sz w:val="22"/>
          <w:szCs w:val="22"/>
          <w:lang w:eastAsia="en-US"/>
        </w:rPr>
        <w:t>О.Ф. Борковский</w:t>
      </w:r>
    </w:p>
    <w:p w:rsidR="003C5478" w:rsidRPr="00EB02FE"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3C5478" w:rsidRDefault="003C5478" w:rsidP="003C5478">
      <w:pPr>
        <w:jc w:val="both"/>
        <w:rPr>
          <w:rFonts w:eastAsiaTheme="minorHAnsi"/>
          <w:sz w:val="22"/>
          <w:szCs w:val="22"/>
          <w:lang w:eastAsia="en-US"/>
        </w:rPr>
      </w:pPr>
    </w:p>
    <w:p w:rsidR="005A565A" w:rsidRDefault="005A565A" w:rsidP="005A565A">
      <w:pPr>
        <w:jc w:val="both"/>
        <w:rPr>
          <w:sz w:val="28"/>
          <w:szCs w:val="28"/>
        </w:rPr>
      </w:pPr>
    </w:p>
    <w:p w:rsidR="005A565A" w:rsidRPr="006E3583" w:rsidRDefault="005A565A" w:rsidP="005A565A">
      <w:pPr>
        <w:jc w:val="both"/>
        <w:rPr>
          <w:sz w:val="28"/>
          <w:szCs w:val="28"/>
        </w:rPr>
      </w:pPr>
    </w:p>
    <w:p w:rsidR="005A565A" w:rsidRPr="006E3583" w:rsidRDefault="005A565A" w:rsidP="005A565A">
      <w:pPr>
        <w:jc w:val="both"/>
        <w:rPr>
          <w:sz w:val="18"/>
          <w:szCs w:val="18"/>
        </w:rPr>
      </w:pPr>
      <w:r w:rsidRPr="006E3583">
        <w:rPr>
          <w:sz w:val="18"/>
          <w:szCs w:val="18"/>
        </w:rPr>
        <w:t xml:space="preserve">Борковский, </w:t>
      </w:r>
    </w:p>
    <w:p w:rsidR="00EC1A3E" w:rsidRPr="00D56CFC" w:rsidRDefault="005A565A" w:rsidP="00FE28CB">
      <w:pPr>
        <w:jc w:val="both"/>
      </w:pPr>
      <w:r w:rsidRPr="006E3583">
        <w:rPr>
          <w:sz w:val="18"/>
          <w:szCs w:val="18"/>
        </w:rPr>
        <w:t>8029 1122937</w:t>
      </w:r>
      <w:r w:rsidRPr="006E3583">
        <w:rPr>
          <w:sz w:val="28"/>
          <w:szCs w:val="28"/>
        </w:rPr>
        <w:t xml:space="preserve"> </w:t>
      </w:r>
    </w:p>
    <w:sectPr w:rsidR="00EC1A3E" w:rsidRPr="00D56C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79D9"/>
    <w:multiLevelType w:val="hybridMultilevel"/>
    <w:tmpl w:val="FB8266FE"/>
    <w:lvl w:ilvl="0" w:tplc="474C888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4BB522EF"/>
    <w:multiLevelType w:val="hybridMultilevel"/>
    <w:tmpl w:val="EA4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52D07"/>
    <w:multiLevelType w:val="hybridMultilevel"/>
    <w:tmpl w:val="37BA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73"/>
    <w:rsid w:val="00010F66"/>
    <w:rsid w:val="000B7E7D"/>
    <w:rsid w:val="00102976"/>
    <w:rsid w:val="00106C9C"/>
    <w:rsid w:val="00114095"/>
    <w:rsid w:val="001E4C37"/>
    <w:rsid w:val="002246E4"/>
    <w:rsid w:val="00234819"/>
    <w:rsid w:val="0024661E"/>
    <w:rsid w:val="002777C9"/>
    <w:rsid w:val="002E7473"/>
    <w:rsid w:val="003056EA"/>
    <w:rsid w:val="00365AEE"/>
    <w:rsid w:val="00382CFC"/>
    <w:rsid w:val="003861BF"/>
    <w:rsid w:val="003A55C4"/>
    <w:rsid w:val="003C2311"/>
    <w:rsid w:val="003C5478"/>
    <w:rsid w:val="003E3DAF"/>
    <w:rsid w:val="003F0C8E"/>
    <w:rsid w:val="003F6570"/>
    <w:rsid w:val="00457EC9"/>
    <w:rsid w:val="004817B7"/>
    <w:rsid w:val="005119B0"/>
    <w:rsid w:val="00525970"/>
    <w:rsid w:val="00585B96"/>
    <w:rsid w:val="00591D27"/>
    <w:rsid w:val="005A565A"/>
    <w:rsid w:val="005C6984"/>
    <w:rsid w:val="005E09E4"/>
    <w:rsid w:val="005F2571"/>
    <w:rsid w:val="00637A81"/>
    <w:rsid w:val="006A028E"/>
    <w:rsid w:val="006D22EE"/>
    <w:rsid w:val="006E20D9"/>
    <w:rsid w:val="006E7679"/>
    <w:rsid w:val="006F431E"/>
    <w:rsid w:val="00707438"/>
    <w:rsid w:val="007114B2"/>
    <w:rsid w:val="00730E8A"/>
    <w:rsid w:val="00752FA9"/>
    <w:rsid w:val="00766DAE"/>
    <w:rsid w:val="007711C6"/>
    <w:rsid w:val="00776BCF"/>
    <w:rsid w:val="007E0415"/>
    <w:rsid w:val="00851851"/>
    <w:rsid w:val="008F2428"/>
    <w:rsid w:val="00941BE2"/>
    <w:rsid w:val="00964909"/>
    <w:rsid w:val="00A676DE"/>
    <w:rsid w:val="00AF33D0"/>
    <w:rsid w:val="00B07CDB"/>
    <w:rsid w:val="00B21EE8"/>
    <w:rsid w:val="00B67194"/>
    <w:rsid w:val="00B71480"/>
    <w:rsid w:val="00B940F5"/>
    <w:rsid w:val="00BB33F7"/>
    <w:rsid w:val="00BC4781"/>
    <w:rsid w:val="00C21C7D"/>
    <w:rsid w:val="00C92F02"/>
    <w:rsid w:val="00CD7CAF"/>
    <w:rsid w:val="00D34872"/>
    <w:rsid w:val="00D56CFC"/>
    <w:rsid w:val="00DE0A7D"/>
    <w:rsid w:val="00DE677C"/>
    <w:rsid w:val="00E215B8"/>
    <w:rsid w:val="00EA5689"/>
    <w:rsid w:val="00EB2298"/>
    <w:rsid w:val="00EB3052"/>
    <w:rsid w:val="00EC1A3E"/>
    <w:rsid w:val="00F1640B"/>
    <w:rsid w:val="00F321A5"/>
    <w:rsid w:val="00F736EA"/>
    <w:rsid w:val="00FA2427"/>
    <w:rsid w:val="00FC5ECA"/>
    <w:rsid w:val="00FE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5FE4"/>
  <w15:chartTrackingRefBased/>
  <w15:docId w15:val="{AC6DDE27-C578-4897-8EF1-33D7FE8C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F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940F5"/>
    <w:pPr>
      <w:keepNext/>
      <w:jc w:val="center"/>
      <w:outlineLvl w:val="0"/>
    </w:pPr>
    <w:rPr>
      <w:rFonts w:ascii="Courier New" w:hAnsi="Courier New"/>
      <w:b/>
      <w:sz w:val="1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F5"/>
    <w:rPr>
      <w:rFonts w:ascii="Courier New" w:eastAsia="Times New Roman" w:hAnsi="Courier New" w:cs="Times New Roman"/>
      <w:b/>
      <w:sz w:val="18"/>
      <w:szCs w:val="20"/>
      <w:lang w:val="be-BY" w:eastAsia="ru-RU"/>
    </w:rPr>
  </w:style>
  <w:style w:type="character" w:styleId="a3">
    <w:name w:val="Hyperlink"/>
    <w:basedOn w:val="a0"/>
    <w:unhideWhenUsed/>
    <w:rsid w:val="00B940F5"/>
    <w:rPr>
      <w:color w:val="0000FF"/>
      <w:u w:val="single"/>
    </w:rPr>
  </w:style>
  <w:style w:type="paragraph" w:styleId="a4">
    <w:name w:val="Body Text"/>
    <w:basedOn w:val="a"/>
    <w:link w:val="a5"/>
    <w:semiHidden/>
    <w:unhideWhenUsed/>
    <w:rsid w:val="00B940F5"/>
    <w:pPr>
      <w:jc w:val="center"/>
    </w:pPr>
    <w:rPr>
      <w:sz w:val="30"/>
    </w:rPr>
  </w:style>
  <w:style w:type="character" w:customStyle="1" w:styleId="a5">
    <w:name w:val="Основной текст Знак"/>
    <w:basedOn w:val="a0"/>
    <w:link w:val="a4"/>
    <w:semiHidden/>
    <w:rsid w:val="00B940F5"/>
    <w:rPr>
      <w:rFonts w:ascii="Times New Roman" w:eastAsia="Times New Roman" w:hAnsi="Times New Roman" w:cs="Times New Roman"/>
      <w:sz w:val="30"/>
      <w:szCs w:val="24"/>
      <w:lang w:val="ru-RU" w:eastAsia="ru-RU"/>
    </w:rPr>
  </w:style>
  <w:style w:type="paragraph" w:styleId="a6">
    <w:name w:val="Balloon Text"/>
    <w:basedOn w:val="a"/>
    <w:link w:val="a7"/>
    <w:uiPriority w:val="99"/>
    <w:semiHidden/>
    <w:unhideWhenUsed/>
    <w:rsid w:val="00EA5689"/>
    <w:rPr>
      <w:rFonts w:ascii="Segoe UI" w:hAnsi="Segoe UI" w:cs="Segoe UI"/>
      <w:sz w:val="18"/>
      <w:szCs w:val="18"/>
    </w:rPr>
  </w:style>
  <w:style w:type="character" w:customStyle="1" w:styleId="a7">
    <w:name w:val="Текст выноски Знак"/>
    <w:basedOn w:val="a0"/>
    <w:link w:val="a6"/>
    <w:uiPriority w:val="99"/>
    <w:semiHidden/>
    <w:rsid w:val="00EA5689"/>
    <w:rPr>
      <w:rFonts w:ascii="Segoe UI" w:eastAsia="Times New Roman" w:hAnsi="Segoe UI" w:cs="Segoe UI"/>
      <w:sz w:val="18"/>
      <w:szCs w:val="18"/>
      <w:lang w:val="ru-RU" w:eastAsia="ru-RU"/>
    </w:rPr>
  </w:style>
  <w:style w:type="paragraph" w:styleId="a8">
    <w:name w:val="List Paragraph"/>
    <w:basedOn w:val="a"/>
    <w:uiPriority w:val="34"/>
    <w:qFormat/>
    <w:rsid w:val="006A028E"/>
    <w:pPr>
      <w:ind w:left="720"/>
      <w:contextualSpacing/>
    </w:pPr>
  </w:style>
  <w:style w:type="paragraph" w:customStyle="1" w:styleId="newncpi">
    <w:name w:val="newncpi"/>
    <w:basedOn w:val="a"/>
    <w:rsid w:val="002246E4"/>
    <w:pPr>
      <w:ind w:firstLine="567"/>
      <w:jc w:val="both"/>
    </w:pPr>
  </w:style>
  <w:style w:type="paragraph" w:customStyle="1" w:styleId="a9">
    <w:name w:val="Базовый"/>
    <w:uiPriority w:val="99"/>
    <w:rsid w:val="00752FA9"/>
    <w:pPr>
      <w:tabs>
        <w:tab w:val="left" w:pos="709"/>
      </w:tabs>
      <w:suppressAutoHyphens/>
      <w:spacing w:after="0" w:line="100" w:lineRule="atLeast"/>
    </w:pPr>
    <w:rPr>
      <w:rFonts w:ascii="Times New Roman" w:eastAsia="Times New Roman" w:hAnsi="Times New Roman" w:cs="Times New Roman"/>
      <w:sz w:val="24"/>
      <w:szCs w:val="24"/>
      <w:lang w:val="ru-RU" w:eastAsia="ru-RU"/>
    </w:rPr>
  </w:style>
  <w:style w:type="table" w:styleId="aa">
    <w:name w:val="Table Grid"/>
    <w:basedOn w:val="a1"/>
    <w:uiPriority w:val="39"/>
    <w:rsid w:val="003C54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327">
      <w:bodyDiv w:val="1"/>
      <w:marLeft w:val="0"/>
      <w:marRight w:val="0"/>
      <w:marTop w:val="0"/>
      <w:marBottom w:val="0"/>
      <w:divBdr>
        <w:top w:val="none" w:sz="0" w:space="0" w:color="auto"/>
        <w:left w:val="none" w:sz="0" w:space="0" w:color="auto"/>
        <w:bottom w:val="none" w:sz="0" w:space="0" w:color="auto"/>
        <w:right w:val="none" w:sz="0" w:space="0" w:color="auto"/>
      </w:divBdr>
    </w:div>
    <w:div w:id="489830274">
      <w:bodyDiv w:val="1"/>
      <w:marLeft w:val="0"/>
      <w:marRight w:val="0"/>
      <w:marTop w:val="0"/>
      <w:marBottom w:val="0"/>
      <w:divBdr>
        <w:top w:val="none" w:sz="0" w:space="0" w:color="auto"/>
        <w:left w:val="none" w:sz="0" w:space="0" w:color="auto"/>
        <w:bottom w:val="none" w:sz="0" w:space="0" w:color="auto"/>
        <w:right w:val="none" w:sz="0" w:space="0" w:color="auto"/>
      </w:divBdr>
    </w:div>
    <w:div w:id="817722456">
      <w:bodyDiv w:val="1"/>
      <w:marLeft w:val="0"/>
      <w:marRight w:val="0"/>
      <w:marTop w:val="0"/>
      <w:marBottom w:val="0"/>
      <w:divBdr>
        <w:top w:val="none" w:sz="0" w:space="0" w:color="auto"/>
        <w:left w:val="none" w:sz="0" w:space="0" w:color="auto"/>
        <w:bottom w:val="none" w:sz="0" w:space="0" w:color="auto"/>
        <w:right w:val="none" w:sz="0" w:space="0" w:color="auto"/>
      </w:divBdr>
    </w:div>
    <w:div w:id="966474980">
      <w:bodyDiv w:val="1"/>
      <w:marLeft w:val="0"/>
      <w:marRight w:val="0"/>
      <w:marTop w:val="0"/>
      <w:marBottom w:val="0"/>
      <w:divBdr>
        <w:top w:val="none" w:sz="0" w:space="0" w:color="auto"/>
        <w:left w:val="none" w:sz="0" w:space="0" w:color="auto"/>
        <w:bottom w:val="none" w:sz="0" w:space="0" w:color="auto"/>
        <w:right w:val="none" w:sz="0" w:space="0" w:color="auto"/>
      </w:divBdr>
    </w:div>
    <w:div w:id="1434278891">
      <w:bodyDiv w:val="1"/>
      <w:marLeft w:val="0"/>
      <w:marRight w:val="0"/>
      <w:marTop w:val="0"/>
      <w:marBottom w:val="0"/>
      <w:divBdr>
        <w:top w:val="none" w:sz="0" w:space="0" w:color="auto"/>
        <w:left w:val="none" w:sz="0" w:space="0" w:color="auto"/>
        <w:bottom w:val="none" w:sz="0" w:space="0" w:color="auto"/>
        <w:right w:val="none" w:sz="0" w:space="0" w:color="auto"/>
      </w:divBdr>
    </w:div>
    <w:div w:id="18612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5BEA-6F4D-4280-9DC1-CE364C50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1561</Words>
  <Characters>8904</Characters>
  <Application>Microsoft Office Word</Application>
  <DocSecurity>4</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Jakimovich</cp:lastModifiedBy>
  <cp:revision>2</cp:revision>
  <cp:lastPrinted>2020-08-06T13:49:00Z</cp:lastPrinted>
  <dcterms:created xsi:type="dcterms:W3CDTF">2020-10-15T13:53:00Z</dcterms:created>
  <dcterms:modified xsi:type="dcterms:W3CDTF">2020-10-15T13:53:00Z</dcterms:modified>
</cp:coreProperties>
</file>